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C7A3" w14:textId="77777777" w:rsidR="00D42FEC" w:rsidRDefault="00D42FEC" w:rsidP="00D42FEC">
      <w:pPr>
        <w:spacing w:after="0" w:line="240" w:lineRule="auto"/>
        <w:ind w:right="-692"/>
        <w:jc w:val="center"/>
        <w:rPr>
          <w:rFonts w:ascii="Calibri" w:eastAsia="Times New Roman" w:hAnsi="Calibri" w:cs="Arial"/>
          <w:b/>
          <w:iCs/>
          <w:color w:val="FF0000"/>
          <w:sz w:val="36"/>
          <w:lang w:eastAsia="hr-HR"/>
        </w:rPr>
      </w:pPr>
    </w:p>
    <w:p w14:paraId="4E69B4F8" w14:textId="77777777" w:rsidR="00D42FEC" w:rsidRDefault="00D42FEC" w:rsidP="00D42FEC">
      <w:pPr>
        <w:spacing w:after="0" w:line="240" w:lineRule="auto"/>
        <w:ind w:right="-692"/>
        <w:jc w:val="center"/>
        <w:rPr>
          <w:rFonts w:ascii="Calibri" w:eastAsia="Times New Roman" w:hAnsi="Calibri" w:cs="Arial"/>
          <w:b/>
          <w:iCs/>
          <w:color w:val="FF0000"/>
          <w:sz w:val="36"/>
          <w:lang w:eastAsia="hr-HR"/>
        </w:rPr>
      </w:pPr>
    </w:p>
    <w:p w14:paraId="1C07345F" w14:textId="1B90E3AB" w:rsidR="00301914" w:rsidRDefault="00D42FEC" w:rsidP="00D42FEC">
      <w:pPr>
        <w:spacing w:after="0" w:line="240" w:lineRule="auto"/>
        <w:ind w:right="-692"/>
        <w:jc w:val="center"/>
        <w:rPr>
          <w:rFonts w:ascii="Calibri" w:eastAsia="Times New Roman" w:hAnsi="Calibri" w:cs="Arial"/>
          <w:b/>
          <w:iCs/>
          <w:color w:val="FF0000"/>
          <w:sz w:val="36"/>
          <w:lang w:eastAsia="hr-HR"/>
        </w:rPr>
      </w:pPr>
      <w:r w:rsidRPr="00D42FEC">
        <w:rPr>
          <w:rFonts w:ascii="Calibri" w:eastAsia="Times New Roman" w:hAnsi="Calibri" w:cs="Arial"/>
          <w:b/>
          <w:iCs/>
          <w:color w:val="FF0000"/>
          <w:sz w:val="36"/>
          <w:lang w:eastAsia="hr-HR"/>
        </w:rPr>
        <w:t>Informativni popis analiza</w:t>
      </w:r>
    </w:p>
    <w:p w14:paraId="0C1DD902" w14:textId="77777777" w:rsidR="00D42FEC" w:rsidRPr="00D42FEC" w:rsidRDefault="00D42FEC" w:rsidP="006F4806">
      <w:pPr>
        <w:spacing w:after="0" w:line="240" w:lineRule="auto"/>
        <w:ind w:right="-692"/>
        <w:rPr>
          <w:rFonts w:ascii="Calibri" w:eastAsia="Times New Roman" w:hAnsi="Calibri" w:cs="Arial"/>
          <w:b/>
          <w:iCs/>
          <w:color w:val="FF0000"/>
          <w:sz w:val="36"/>
          <w:lang w:eastAsia="hr-H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768"/>
        <w:gridCol w:w="1926"/>
      </w:tblGrid>
      <w:tr w:rsidR="00301914" w:rsidRPr="008D0E2F" w14:paraId="63744EEA" w14:textId="77777777" w:rsidTr="00F14410">
        <w:tc>
          <w:tcPr>
            <w:tcW w:w="4164" w:type="dxa"/>
            <w:shd w:val="clear" w:color="auto" w:fill="auto"/>
          </w:tcPr>
          <w:p w14:paraId="38CDAA08" w14:textId="77777777" w:rsidR="00301914" w:rsidRPr="008D0E2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b/>
                <w:iCs/>
                <w:lang w:eastAsia="hr-HR"/>
              </w:rPr>
            </w:pPr>
            <w:r w:rsidRPr="008D0E2F">
              <w:rPr>
                <w:rFonts w:ascii="Calibri" w:eastAsia="Times New Roman" w:hAnsi="Calibri" w:cs="Arial"/>
                <w:b/>
                <w:iCs/>
                <w:lang w:eastAsia="hr-HR"/>
              </w:rPr>
              <w:t>Analit</w:t>
            </w:r>
          </w:p>
          <w:p w14:paraId="5B70EE5C" w14:textId="60911489" w:rsidR="008D0E2F" w:rsidRPr="008D0E2F" w:rsidRDefault="008D0E2F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b/>
                <w:iCs/>
                <w:lang w:eastAsia="hr-HR"/>
              </w:rPr>
            </w:pPr>
          </w:p>
        </w:tc>
        <w:tc>
          <w:tcPr>
            <w:tcW w:w="4768" w:type="dxa"/>
            <w:shd w:val="clear" w:color="auto" w:fill="auto"/>
          </w:tcPr>
          <w:p w14:paraId="16753510" w14:textId="77777777" w:rsidR="00301914" w:rsidRPr="008D0E2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b/>
                <w:iCs/>
                <w:lang w:eastAsia="hr-HR"/>
              </w:rPr>
            </w:pPr>
            <w:r w:rsidRPr="008D0E2F">
              <w:rPr>
                <w:rFonts w:ascii="Calibri" w:eastAsia="Times New Roman" w:hAnsi="Calibri" w:cs="Arial"/>
                <w:b/>
                <w:iCs/>
                <w:lang w:eastAsia="hr-HR"/>
              </w:rPr>
              <w:t>Postupak/Metoda</w:t>
            </w:r>
          </w:p>
        </w:tc>
        <w:tc>
          <w:tcPr>
            <w:tcW w:w="1926" w:type="dxa"/>
            <w:shd w:val="clear" w:color="auto" w:fill="auto"/>
          </w:tcPr>
          <w:p w14:paraId="29816109" w14:textId="77777777" w:rsidR="00301914" w:rsidRPr="008D0E2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b/>
                <w:iCs/>
                <w:lang w:eastAsia="hr-HR"/>
              </w:rPr>
            </w:pPr>
            <w:r w:rsidRPr="008D0E2F">
              <w:rPr>
                <w:rFonts w:ascii="Calibri" w:eastAsia="Times New Roman" w:hAnsi="Calibri" w:cs="Arial"/>
                <w:b/>
                <w:iCs/>
                <w:lang w:eastAsia="hr-HR"/>
              </w:rPr>
              <w:t>Tehnika</w:t>
            </w:r>
          </w:p>
        </w:tc>
      </w:tr>
      <w:tr w:rsidR="00301914" w:rsidRPr="00ED0E3F" w14:paraId="64AA76F4" w14:textId="77777777" w:rsidTr="00F14410">
        <w:tc>
          <w:tcPr>
            <w:tcW w:w="4164" w:type="dxa"/>
            <w:shd w:val="clear" w:color="auto" w:fill="auto"/>
          </w:tcPr>
          <w:p w14:paraId="00044D24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Vitamin A (retinol)</w:t>
            </w:r>
          </w:p>
        </w:tc>
        <w:tc>
          <w:tcPr>
            <w:tcW w:w="4768" w:type="dxa"/>
            <w:shd w:val="clear" w:color="auto" w:fill="auto"/>
          </w:tcPr>
          <w:p w14:paraId="4010014B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EN 12823-1:2014</w:t>
            </w:r>
          </w:p>
        </w:tc>
        <w:tc>
          <w:tcPr>
            <w:tcW w:w="1926" w:type="dxa"/>
            <w:shd w:val="clear" w:color="auto" w:fill="auto"/>
          </w:tcPr>
          <w:p w14:paraId="410E8253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3815C0BB" w14:textId="77777777" w:rsidTr="00F14410">
        <w:tc>
          <w:tcPr>
            <w:tcW w:w="4164" w:type="dxa"/>
            <w:shd w:val="clear" w:color="auto" w:fill="auto"/>
          </w:tcPr>
          <w:p w14:paraId="7AA24F72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Vitamin B1 (tiamin)</w:t>
            </w:r>
          </w:p>
        </w:tc>
        <w:tc>
          <w:tcPr>
            <w:tcW w:w="4768" w:type="dxa"/>
            <w:shd w:val="clear" w:color="auto" w:fill="auto"/>
          </w:tcPr>
          <w:p w14:paraId="3FCEBC54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EN 14122:2014</w:t>
            </w:r>
          </w:p>
        </w:tc>
        <w:tc>
          <w:tcPr>
            <w:tcW w:w="1926" w:type="dxa"/>
            <w:shd w:val="clear" w:color="auto" w:fill="auto"/>
          </w:tcPr>
          <w:p w14:paraId="791BBC5A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01CEC9A9" w14:textId="77777777" w:rsidTr="00F14410">
        <w:tc>
          <w:tcPr>
            <w:tcW w:w="4164" w:type="dxa"/>
            <w:shd w:val="clear" w:color="auto" w:fill="auto"/>
          </w:tcPr>
          <w:p w14:paraId="358F9F79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Vitamin B2 (riboflavin)</w:t>
            </w:r>
          </w:p>
        </w:tc>
        <w:tc>
          <w:tcPr>
            <w:tcW w:w="4768" w:type="dxa"/>
            <w:shd w:val="clear" w:color="auto" w:fill="auto"/>
          </w:tcPr>
          <w:p w14:paraId="61E5C11E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EN 14152:2014</w:t>
            </w:r>
          </w:p>
        </w:tc>
        <w:tc>
          <w:tcPr>
            <w:tcW w:w="1926" w:type="dxa"/>
            <w:shd w:val="clear" w:color="auto" w:fill="auto"/>
          </w:tcPr>
          <w:p w14:paraId="462E85C6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013D0721" w14:textId="77777777" w:rsidTr="00F14410">
        <w:tc>
          <w:tcPr>
            <w:tcW w:w="4164" w:type="dxa"/>
            <w:shd w:val="clear" w:color="auto" w:fill="auto"/>
          </w:tcPr>
          <w:p w14:paraId="751B0BDE" w14:textId="539544C2" w:rsidR="00301914" w:rsidRPr="00ED0E3F" w:rsidRDefault="00ED0E3F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="00301914" w:rsidRPr="00ED0E3F">
              <w:rPr>
                <w:rFonts w:ascii="Calibri" w:eastAsia="Times New Roman" w:hAnsi="Calibri" w:cs="Arial"/>
                <w:iCs/>
                <w:lang w:eastAsia="hr-HR"/>
              </w:rPr>
              <w:t>Niacin (Vitamin B3 )</w:t>
            </w:r>
          </w:p>
        </w:tc>
        <w:tc>
          <w:tcPr>
            <w:tcW w:w="4768" w:type="dxa"/>
            <w:shd w:val="clear" w:color="auto" w:fill="auto"/>
          </w:tcPr>
          <w:p w14:paraId="29A33BB0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EN 15652:2010</w:t>
            </w:r>
          </w:p>
        </w:tc>
        <w:tc>
          <w:tcPr>
            <w:tcW w:w="1926" w:type="dxa"/>
            <w:shd w:val="clear" w:color="auto" w:fill="auto"/>
          </w:tcPr>
          <w:p w14:paraId="7635990A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1113B312" w14:textId="77777777" w:rsidTr="00F14410">
        <w:tc>
          <w:tcPr>
            <w:tcW w:w="4164" w:type="dxa"/>
            <w:shd w:val="clear" w:color="auto" w:fill="auto"/>
          </w:tcPr>
          <w:p w14:paraId="1D471F15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Pantotenska kiselina (Vitamin B5)</w:t>
            </w:r>
          </w:p>
        </w:tc>
        <w:tc>
          <w:tcPr>
            <w:tcW w:w="4768" w:type="dxa"/>
            <w:shd w:val="clear" w:color="auto" w:fill="auto"/>
          </w:tcPr>
          <w:p w14:paraId="4C8034E8" w14:textId="02708BF4" w:rsidR="00301914" w:rsidRPr="00ED0E3F" w:rsidRDefault="00423890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Science </w:t>
            </w:r>
            <w:r w:rsidR="005B3996">
              <w:rPr>
                <w:rFonts w:ascii="Calibri" w:eastAsia="Times New Roman" w:hAnsi="Calibri" w:cs="Arial"/>
                <w:iCs/>
                <w:lang w:eastAsia="hr-HR"/>
              </w:rPr>
              <w:t>J</w:t>
            </w: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ournal -  </w:t>
            </w:r>
            <w:r w:rsidR="00301914" w:rsidRPr="00ED0E3F">
              <w:rPr>
                <w:rFonts w:ascii="Calibri" w:eastAsia="Times New Roman" w:hAnsi="Calibri" w:cs="Arial"/>
                <w:iCs/>
                <w:lang w:eastAsia="hr-HR"/>
              </w:rPr>
              <w:t>JA</w:t>
            </w:r>
            <w:r>
              <w:rPr>
                <w:rFonts w:ascii="Calibri" w:eastAsia="Times New Roman" w:hAnsi="Calibri" w:cs="Arial"/>
                <w:iCs/>
                <w:lang w:eastAsia="hr-HR"/>
              </w:rPr>
              <w:t>MC</w:t>
            </w:r>
            <w:r w:rsidR="00301914"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(2013) </w:t>
            </w:r>
          </w:p>
        </w:tc>
        <w:tc>
          <w:tcPr>
            <w:tcW w:w="1926" w:type="dxa"/>
            <w:shd w:val="clear" w:color="auto" w:fill="auto"/>
          </w:tcPr>
          <w:p w14:paraId="6D7A8A2C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69A8B3D4" w14:textId="77777777" w:rsidTr="00F14410">
        <w:tc>
          <w:tcPr>
            <w:tcW w:w="4164" w:type="dxa"/>
            <w:shd w:val="clear" w:color="auto" w:fill="auto"/>
          </w:tcPr>
          <w:p w14:paraId="3BC98165" w14:textId="70F40704" w:rsidR="00301914" w:rsidRPr="00ED0E3F" w:rsidRDefault="00ED0E3F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="00301914"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Vitamin B6 </w:t>
            </w:r>
          </w:p>
        </w:tc>
        <w:tc>
          <w:tcPr>
            <w:tcW w:w="4768" w:type="dxa"/>
            <w:shd w:val="clear" w:color="auto" w:fill="auto"/>
          </w:tcPr>
          <w:p w14:paraId="3C75E0F3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EN 14164:2014</w:t>
            </w:r>
          </w:p>
        </w:tc>
        <w:tc>
          <w:tcPr>
            <w:tcW w:w="1926" w:type="dxa"/>
            <w:shd w:val="clear" w:color="auto" w:fill="auto"/>
          </w:tcPr>
          <w:p w14:paraId="11439B47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50C215D1" w14:textId="77777777" w:rsidTr="00F14410">
        <w:tc>
          <w:tcPr>
            <w:tcW w:w="4164" w:type="dxa"/>
            <w:shd w:val="clear" w:color="auto" w:fill="auto"/>
          </w:tcPr>
          <w:p w14:paraId="0807BF56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Biotin (Vitamin B7)</w:t>
            </w:r>
          </w:p>
        </w:tc>
        <w:tc>
          <w:tcPr>
            <w:tcW w:w="4768" w:type="dxa"/>
            <w:shd w:val="clear" w:color="auto" w:fill="auto"/>
          </w:tcPr>
          <w:p w14:paraId="2C43E843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IAC, prema uputi proizvođača R-biopharm</w:t>
            </w:r>
          </w:p>
        </w:tc>
        <w:tc>
          <w:tcPr>
            <w:tcW w:w="1926" w:type="dxa"/>
            <w:shd w:val="clear" w:color="auto" w:fill="auto"/>
          </w:tcPr>
          <w:p w14:paraId="443217A6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1011073B" w14:textId="77777777" w:rsidTr="00F14410">
        <w:tc>
          <w:tcPr>
            <w:tcW w:w="4164" w:type="dxa"/>
            <w:shd w:val="clear" w:color="auto" w:fill="auto"/>
          </w:tcPr>
          <w:p w14:paraId="40CBDCF3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Folna kiselina (Vitamin B9)</w:t>
            </w:r>
          </w:p>
        </w:tc>
        <w:tc>
          <w:tcPr>
            <w:tcW w:w="4768" w:type="dxa"/>
            <w:shd w:val="clear" w:color="auto" w:fill="auto"/>
          </w:tcPr>
          <w:p w14:paraId="67E830F0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ELISA test, prema uputi proizvođača R-biopharm</w:t>
            </w:r>
          </w:p>
        </w:tc>
        <w:tc>
          <w:tcPr>
            <w:tcW w:w="1926" w:type="dxa"/>
            <w:shd w:val="clear" w:color="auto" w:fill="auto"/>
          </w:tcPr>
          <w:p w14:paraId="51AA5F26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ELISA</w:t>
            </w:r>
          </w:p>
        </w:tc>
      </w:tr>
      <w:tr w:rsidR="00301914" w:rsidRPr="00ED0E3F" w14:paraId="2A181C9E" w14:textId="77777777" w:rsidTr="00F14410">
        <w:tc>
          <w:tcPr>
            <w:tcW w:w="4164" w:type="dxa"/>
            <w:shd w:val="clear" w:color="auto" w:fill="auto"/>
          </w:tcPr>
          <w:p w14:paraId="784F0E6A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Folna kiselina (Vitamin B9)</w:t>
            </w:r>
          </w:p>
        </w:tc>
        <w:tc>
          <w:tcPr>
            <w:tcW w:w="4768" w:type="dxa"/>
            <w:shd w:val="clear" w:color="auto" w:fill="auto"/>
          </w:tcPr>
          <w:p w14:paraId="0BE8EA41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IAC, prema uputi proizvođača R-biopharm</w:t>
            </w:r>
          </w:p>
        </w:tc>
        <w:tc>
          <w:tcPr>
            <w:tcW w:w="1926" w:type="dxa"/>
            <w:shd w:val="clear" w:color="auto" w:fill="auto"/>
          </w:tcPr>
          <w:p w14:paraId="016F68E7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4396C82D" w14:textId="77777777" w:rsidTr="00F14410">
        <w:tc>
          <w:tcPr>
            <w:tcW w:w="4164" w:type="dxa"/>
            <w:shd w:val="clear" w:color="auto" w:fill="auto"/>
          </w:tcPr>
          <w:p w14:paraId="7A0EA3CD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Vitamin B12</w:t>
            </w:r>
          </w:p>
        </w:tc>
        <w:tc>
          <w:tcPr>
            <w:tcW w:w="4768" w:type="dxa"/>
            <w:shd w:val="clear" w:color="auto" w:fill="auto"/>
          </w:tcPr>
          <w:p w14:paraId="1EAEE2FA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ELISA test, prema uputi proizvođača R-biopharm</w:t>
            </w:r>
          </w:p>
        </w:tc>
        <w:tc>
          <w:tcPr>
            <w:tcW w:w="1926" w:type="dxa"/>
            <w:shd w:val="clear" w:color="auto" w:fill="auto"/>
          </w:tcPr>
          <w:p w14:paraId="3646577B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ELISA</w:t>
            </w:r>
          </w:p>
        </w:tc>
      </w:tr>
      <w:tr w:rsidR="00301914" w:rsidRPr="00ED0E3F" w14:paraId="547BE77D" w14:textId="77777777" w:rsidTr="00F14410">
        <w:tc>
          <w:tcPr>
            <w:tcW w:w="4164" w:type="dxa"/>
            <w:shd w:val="clear" w:color="auto" w:fill="auto"/>
          </w:tcPr>
          <w:p w14:paraId="0A8A2C8F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bookmarkStart w:id="0" w:name="_Hlk14684034"/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Vitamin B12</w:t>
            </w:r>
          </w:p>
        </w:tc>
        <w:tc>
          <w:tcPr>
            <w:tcW w:w="4768" w:type="dxa"/>
            <w:shd w:val="clear" w:color="auto" w:fill="auto"/>
          </w:tcPr>
          <w:p w14:paraId="71DC24FD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IAC, prema uputi proizvođača R-biopharm</w:t>
            </w:r>
          </w:p>
        </w:tc>
        <w:tc>
          <w:tcPr>
            <w:tcW w:w="1926" w:type="dxa"/>
            <w:shd w:val="clear" w:color="auto" w:fill="auto"/>
          </w:tcPr>
          <w:p w14:paraId="25840336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bookmarkEnd w:id="0"/>
      <w:tr w:rsidR="00301914" w:rsidRPr="00ED0E3F" w14:paraId="5DAC1EDC" w14:textId="77777777" w:rsidTr="00F14410">
        <w:tc>
          <w:tcPr>
            <w:tcW w:w="4164" w:type="dxa"/>
            <w:shd w:val="clear" w:color="auto" w:fill="auto"/>
          </w:tcPr>
          <w:p w14:paraId="306C7B15" w14:textId="21F8104E" w:rsidR="00301914" w:rsidRPr="00ED0E3F" w:rsidRDefault="0000343C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="00301914" w:rsidRPr="00ED0E3F">
              <w:rPr>
                <w:rFonts w:ascii="Calibri" w:eastAsia="Times New Roman" w:hAnsi="Calibri" w:cs="Arial"/>
                <w:iCs/>
                <w:lang w:eastAsia="hr-HR"/>
              </w:rPr>
              <w:t>Vitamin C (DP)</w:t>
            </w:r>
          </w:p>
        </w:tc>
        <w:tc>
          <w:tcPr>
            <w:tcW w:w="4768" w:type="dxa"/>
            <w:shd w:val="clear" w:color="auto" w:fill="auto"/>
          </w:tcPr>
          <w:p w14:paraId="4CBA91D8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EN 14130:2005</w:t>
            </w:r>
          </w:p>
        </w:tc>
        <w:tc>
          <w:tcPr>
            <w:tcW w:w="1926" w:type="dxa"/>
            <w:shd w:val="clear" w:color="auto" w:fill="auto"/>
          </w:tcPr>
          <w:p w14:paraId="2C79F4AB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7330D6F5" w14:textId="77777777" w:rsidTr="00F14410">
        <w:tc>
          <w:tcPr>
            <w:tcW w:w="4164" w:type="dxa"/>
            <w:shd w:val="clear" w:color="auto" w:fill="auto"/>
          </w:tcPr>
          <w:p w14:paraId="2F28B67D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Vitamin C</w:t>
            </w:r>
          </w:p>
        </w:tc>
        <w:tc>
          <w:tcPr>
            <w:tcW w:w="4768" w:type="dxa"/>
            <w:shd w:val="clear" w:color="auto" w:fill="auto"/>
          </w:tcPr>
          <w:p w14:paraId="47EDA7B6" w14:textId="597FB5CD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AOAC </w:t>
            </w:r>
            <w:r w:rsidR="00423890">
              <w:rPr>
                <w:rFonts w:ascii="Calibri" w:eastAsia="Times New Roman" w:hAnsi="Calibri" w:cs="Arial"/>
                <w:iCs/>
                <w:lang w:eastAsia="hr-HR"/>
              </w:rPr>
              <w:t>Official Method</w:t>
            </w:r>
          </w:p>
        </w:tc>
        <w:tc>
          <w:tcPr>
            <w:tcW w:w="1926" w:type="dxa"/>
            <w:shd w:val="clear" w:color="auto" w:fill="auto"/>
          </w:tcPr>
          <w:p w14:paraId="0347C3D8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Titrimetrija</w:t>
            </w:r>
          </w:p>
        </w:tc>
      </w:tr>
      <w:tr w:rsidR="00301914" w:rsidRPr="00ED0E3F" w14:paraId="16295809" w14:textId="77777777" w:rsidTr="00F14410">
        <w:tc>
          <w:tcPr>
            <w:tcW w:w="4164" w:type="dxa"/>
            <w:shd w:val="clear" w:color="auto" w:fill="auto"/>
          </w:tcPr>
          <w:p w14:paraId="33B37CA1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Vitamin D2</w:t>
            </w:r>
          </w:p>
        </w:tc>
        <w:tc>
          <w:tcPr>
            <w:tcW w:w="4768" w:type="dxa"/>
            <w:shd w:val="clear" w:color="auto" w:fill="auto"/>
          </w:tcPr>
          <w:p w14:paraId="07C0EE34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ISO 14892:2003</w:t>
            </w:r>
          </w:p>
        </w:tc>
        <w:tc>
          <w:tcPr>
            <w:tcW w:w="1926" w:type="dxa"/>
            <w:shd w:val="clear" w:color="auto" w:fill="auto"/>
          </w:tcPr>
          <w:p w14:paraId="0F7EFFD5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2C5B34B7" w14:textId="77777777" w:rsidTr="00F14410">
        <w:tc>
          <w:tcPr>
            <w:tcW w:w="4164" w:type="dxa"/>
            <w:shd w:val="clear" w:color="auto" w:fill="auto"/>
          </w:tcPr>
          <w:p w14:paraId="4B2319F3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Vitamin D3</w:t>
            </w:r>
          </w:p>
        </w:tc>
        <w:tc>
          <w:tcPr>
            <w:tcW w:w="4768" w:type="dxa"/>
            <w:shd w:val="clear" w:color="auto" w:fill="auto"/>
          </w:tcPr>
          <w:p w14:paraId="1CA76076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ISO 14892:2003</w:t>
            </w:r>
          </w:p>
        </w:tc>
        <w:tc>
          <w:tcPr>
            <w:tcW w:w="1926" w:type="dxa"/>
            <w:shd w:val="clear" w:color="auto" w:fill="auto"/>
          </w:tcPr>
          <w:p w14:paraId="5C2C58E5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431AAB50" w14:textId="77777777" w:rsidTr="00F14410">
        <w:tc>
          <w:tcPr>
            <w:tcW w:w="4164" w:type="dxa"/>
            <w:shd w:val="clear" w:color="auto" w:fill="auto"/>
          </w:tcPr>
          <w:p w14:paraId="42021D0F" w14:textId="08BA5898" w:rsidR="00301914" w:rsidRPr="00ED0E3F" w:rsidRDefault="0000343C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="00301914" w:rsidRPr="00ED0E3F">
              <w:rPr>
                <w:rFonts w:ascii="Calibri" w:eastAsia="Times New Roman" w:hAnsi="Calibri" w:cs="Arial"/>
                <w:iCs/>
                <w:lang w:eastAsia="hr-HR"/>
              </w:rPr>
              <w:t>Vitamin E (DP)</w:t>
            </w:r>
          </w:p>
        </w:tc>
        <w:tc>
          <w:tcPr>
            <w:tcW w:w="4768" w:type="dxa"/>
            <w:shd w:val="clear" w:color="auto" w:fill="auto"/>
          </w:tcPr>
          <w:p w14:paraId="66219459" w14:textId="35AC8A5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EN 12822:2014</w:t>
            </w:r>
          </w:p>
        </w:tc>
        <w:tc>
          <w:tcPr>
            <w:tcW w:w="1926" w:type="dxa"/>
            <w:shd w:val="clear" w:color="auto" w:fill="auto"/>
          </w:tcPr>
          <w:p w14:paraId="31451A9C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5459449D" w14:textId="77777777" w:rsidTr="00F14410">
        <w:tc>
          <w:tcPr>
            <w:tcW w:w="4164" w:type="dxa"/>
            <w:shd w:val="clear" w:color="auto" w:fill="auto"/>
          </w:tcPr>
          <w:p w14:paraId="712AF154" w14:textId="3A0EE9C3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Vitamin </w:t>
            </w:r>
            <w:r w:rsidR="00ED0E3F">
              <w:rPr>
                <w:rFonts w:ascii="Calibri" w:eastAsia="Times New Roman" w:hAnsi="Calibri" w:cs="Arial"/>
                <w:iCs/>
                <w:lang w:eastAsia="hr-HR"/>
              </w:rPr>
              <w:t xml:space="preserve">K1 i 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K2 </w:t>
            </w:r>
          </w:p>
        </w:tc>
        <w:tc>
          <w:tcPr>
            <w:tcW w:w="4768" w:type="dxa"/>
            <w:shd w:val="clear" w:color="auto" w:fill="auto"/>
          </w:tcPr>
          <w:p w14:paraId="1779187B" w14:textId="02B4BFF2" w:rsidR="00301914" w:rsidRPr="00ED0E3F" w:rsidRDefault="00423890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val="en-US" w:eastAsia="hr-HR"/>
              </w:rPr>
            </w:pPr>
            <w:r w:rsidRPr="00423890">
              <w:rPr>
                <w:rFonts w:ascii="Calibri" w:eastAsia="Times New Roman" w:hAnsi="Calibri" w:cs="Arial"/>
                <w:iCs/>
                <w:lang w:val="en-US" w:eastAsia="hr-HR"/>
              </w:rPr>
              <w:t xml:space="preserve">Science </w:t>
            </w:r>
            <w:r w:rsidR="005B3996">
              <w:rPr>
                <w:rFonts w:ascii="Calibri" w:eastAsia="Times New Roman" w:hAnsi="Calibri" w:cs="Arial"/>
                <w:iCs/>
                <w:lang w:val="en-US" w:eastAsia="hr-HR"/>
              </w:rPr>
              <w:t>J</w:t>
            </w:r>
            <w:r w:rsidRPr="00423890">
              <w:rPr>
                <w:rFonts w:ascii="Calibri" w:eastAsia="Times New Roman" w:hAnsi="Calibri" w:cs="Arial"/>
                <w:iCs/>
                <w:lang w:val="en-US" w:eastAsia="hr-HR"/>
              </w:rPr>
              <w:t xml:space="preserve">ournal -  JAMC </w:t>
            </w:r>
            <w:r w:rsidR="00301914" w:rsidRPr="00ED0E3F">
              <w:rPr>
                <w:rFonts w:ascii="Calibri" w:eastAsia="Times New Roman" w:hAnsi="Calibri" w:cs="Arial"/>
                <w:iCs/>
                <w:lang w:val="en-US" w:eastAsia="hr-HR"/>
              </w:rPr>
              <w:t>(2017)</w:t>
            </w:r>
          </w:p>
        </w:tc>
        <w:tc>
          <w:tcPr>
            <w:tcW w:w="1926" w:type="dxa"/>
            <w:shd w:val="clear" w:color="auto" w:fill="auto"/>
          </w:tcPr>
          <w:p w14:paraId="1BACEEFE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3C8870B2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19AB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10-HDA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9EC5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Magazine (1999)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C9E7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740CC4AB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24F8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Acetaldehid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22CD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Prema uputi proizvođača Megazyme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ABE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Spektrofotometrija</w:t>
            </w:r>
          </w:p>
        </w:tc>
      </w:tr>
      <w:tr w:rsidR="00615199" w:rsidRPr="00ED0E3F" w14:paraId="70A08871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427" w14:textId="14ABC3A8" w:rsidR="00615199" w:rsidRPr="00ED0E3F" w:rsidRDefault="00615199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Aloe-emodin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451D" w14:textId="53196DE9" w:rsidR="00615199" w:rsidRPr="00ED0E3F" w:rsidRDefault="00615199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615199">
              <w:rPr>
                <w:rFonts w:ascii="Calibri" w:eastAsia="Times New Roman" w:hAnsi="Calibri" w:cs="Arial"/>
                <w:iCs/>
                <w:lang w:eastAsia="hr-HR"/>
              </w:rPr>
              <w:t>Scienece journal – DOI 10.1002/pca.1124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452D" w14:textId="67046AFC" w:rsidR="00615199" w:rsidRPr="00ED0E3F" w:rsidRDefault="00615199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29096F6E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D8D2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Aloin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BE23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IRJP (2013)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5B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797F2B7D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958B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Anetol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D361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C (2006)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20EE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39B983C4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633B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Apigenin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BFD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NBHA (2012)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EC4F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28663DC1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D3B7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Arbutin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E155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 NBHA (2012)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4927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01914" w:rsidRPr="00ED0E3F" w14:paraId="21B79C6A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CDC2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Atropin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719A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JCA (1997)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10F7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F14410" w:rsidRPr="00ED0E3F" w14:paraId="51CDCAC3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486C" w14:textId="7B9128E3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Beta glukan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39EA" w14:textId="25685E2D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Prema uputi proizvođača Megazyme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A864" w14:textId="2FF1999F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Spektrofotometrija</w:t>
            </w:r>
          </w:p>
        </w:tc>
      </w:tr>
      <w:tr w:rsidR="00F14410" w:rsidRPr="00ED0E3F" w14:paraId="4B7E1965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954" w14:textId="77777777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Cinamaldehid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58C" w14:textId="77777777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JCS (2010)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F104" w14:textId="77777777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00343C" w:rsidRPr="0000343C" w14:paraId="1493F4DF" w14:textId="77777777" w:rsidTr="00063491">
        <w:tc>
          <w:tcPr>
            <w:tcW w:w="4164" w:type="dxa"/>
          </w:tcPr>
          <w:p w14:paraId="439B57D1" w14:textId="4C2B0BE1" w:rsidR="00F14410" w:rsidRPr="0000343C" w:rsidRDefault="0000343C" w:rsidP="00A23550">
            <w:pPr>
              <w:spacing w:line="240" w:lineRule="auto"/>
            </w:pPr>
            <w:r>
              <w:t xml:space="preserve">  </w:t>
            </w:r>
            <w:r w:rsidR="00F14410" w:rsidRPr="0000343C">
              <w:t>CMIT/MIT Metilkloroizotiazolinon</w:t>
            </w:r>
            <w:r>
              <w:t xml:space="preserve"> i Metilizotiazolinon</w:t>
            </w:r>
          </w:p>
        </w:tc>
        <w:tc>
          <w:tcPr>
            <w:tcW w:w="4768" w:type="dxa"/>
          </w:tcPr>
          <w:p w14:paraId="3984BD1A" w14:textId="53EC6F73" w:rsidR="00F14410" w:rsidRPr="0000343C" w:rsidRDefault="00A2355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t xml:space="preserve">Science </w:t>
            </w:r>
            <w:r w:rsidR="005B3996">
              <w:t>J</w:t>
            </w:r>
            <w:r>
              <w:t xml:space="preserve">ournal - </w:t>
            </w:r>
            <w:r w:rsidR="00F14410" w:rsidRPr="0000343C">
              <w:t>JCS (2014</w:t>
            </w:r>
            <w:r>
              <w:t>)</w:t>
            </w:r>
          </w:p>
        </w:tc>
        <w:tc>
          <w:tcPr>
            <w:tcW w:w="1926" w:type="dxa"/>
          </w:tcPr>
          <w:p w14:paraId="34574F8F" w14:textId="5C886AF7" w:rsidR="00F14410" w:rsidRPr="0000343C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00343C">
              <w:t>HPLC</w:t>
            </w:r>
          </w:p>
        </w:tc>
      </w:tr>
      <w:tr w:rsidR="00615199" w:rsidRPr="00ED0E3F" w14:paraId="029567C0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AD3E" w14:textId="3964C5FB" w:rsidR="00615199" w:rsidRPr="00ED0E3F" w:rsidRDefault="00615199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Emodin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18C9" w14:textId="399F3D7F" w:rsidR="00615199" w:rsidRPr="00ED0E3F" w:rsidRDefault="00615199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615199">
              <w:rPr>
                <w:rFonts w:ascii="Calibri" w:eastAsia="Times New Roman" w:hAnsi="Calibri" w:cs="Arial"/>
                <w:iCs/>
                <w:lang w:eastAsia="hr-HR"/>
              </w:rPr>
              <w:t>Scienece journal – DOI 10.1002/pca.1124</w:t>
            </w:r>
            <w:r w:rsidRPr="00615199">
              <w:rPr>
                <w:rFonts w:ascii="Calibri" w:eastAsia="Times New Roman" w:hAnsi="Calibri" w:cs="Arial"/>
                <w:iCs/>
                <w:lang w:eastAsia="hr-HR"/>
              </w:rPr>
              <w:tab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BB32" w14:textId="7E72A21C" w:rsidR="00615199" w:rsidRPr="00ED0E3F" w:rsidRDefault="00615199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F14410" w:rsidRPr="00ED0E3F" w14:paraId="5E432DF2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03BE" w14:textId="77777777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Eugenol i izoeugenol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77E0" w14:textId="77777777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JPR (2013)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9CC6" w14:textId="77777777" w:rsidR="00F14410" w:rsidRPr="00ED0E3F" w:rsidRDefault="00F14410" w:rsidP="00F14410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337A7F" w14:paraId="5F4B4BC9" w14:textId="77777777" w:rsidTr="00337A7F">
        <w:trPr>
          <w:trHeight w:val="512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AD5" w14:textId="536465AC" w:rsidR="00337A7F" w:rsidRPr="00337A7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337A7F">
              <w:rPr>
                <w:rFonts w:eastAsia="Times New Roman" w:cs="Arial"/>
                <w:lang w:eastAsia="hr-HR"/>
              </w:rPr>
              <w:t xml:space="preserve">  Frangulini (A, B) i Glukofrangulini (A i B)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F91F" w14:textId="11145288" w:rsidR="00337A7F" w:rsidRPr="005B3996" w:rsidRDefault="005B3996" w:rsidP="00337A7F">
            <w:pPr>
              <w:spacing w:after="0" w:line="240" w:lineRule="auto"/>
              <w:ind w:right="-692"/>
              <w:jc w:val="both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Science Journal – </w:t>
            </w:r>
            <w:r w:rsidR="00337A7F" w:rsidRPr="00337A7F">
              <w:rPr>
                <w:rFonts w:eastAsia="Times New Roman" w:cs="Arial"/>
                <w:lang w:eastAsia="hr-HR"/>
              </w:rPr>
              <w:t>JNP</w:t>
            </w:r>
            <w:r>
              <w:rPr>
                <w:rFonts w:eastAsia="Times New Roman" w:cs="Arial"/>
                <w:lang w:eastAsia="hr-HR"/>
              </w:rPr>
              <w:t xml:space="preserve"> (2020)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21B" w14:textId="488FFB83" w:rsidR="00337A7F" w:rsidRPr="00337A7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337A7F">
              <w:rPr>
                <w:rFonts w:eastAsia="Times New Roman" w:cs="Arial"/>
                <w:lang w:eastAsia="hr-HR"/>
              </w:rPr>
              <w:t>HPLC</w:t>
            </w:r>
          </w:p>
        </w:tc>
      </w:tr>
      <w:tr w:rsidR="008E6043" w:rsidRPr="00ED0E3F" w14:paraId="4B91C3D3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0B26" w14:textId="602F432D" w:rsidR="008E6043" w:rsidRPr="00ED0E3F" w:rsidRDefault="008E6043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Galangin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A04D" w14:textId="6D14BC30" w:rsidR="008E6043" w:rsidRPr="00ED0E3F" w:rsidRDefault="008E6043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8E6043">
              <w:rPr>
                <w:rFonts w:ascii="Calibri" w:eastAsia="Times New Roman" w:hAnsi="Calibri" w:cs="Arial"/>
                <w:iCs/>
                <w:lang w:eastAsia="hr-HR"/>
              </w:rPr>
              <w:t>Science Journal - ZYC (2007)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683E" w14:textId="71B988FD" w:rsidR="008E6043" w:rsidRPr="00ED0E3F" w:rsidRDefault="008E6043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3CE75900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006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Genistein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167F" w14:textId="01C11824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AOAC </w:t>
            </w:r>
            <w:r w:rsidR="00423890" w:rsidRPr="00423890">
              <w:rPr>
                <w:rFonts w:ascii="Calibri" w:eastAsia="Times New Roman" w:hAnsi="Calibri" w:cs="Arial"/>
                <w:iCs/>
                <w:lang w:eastAsia="hr-HR"/>
              </w:rPr>
              <w:t>Official Method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AB1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7F914711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088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Ginko-flavonoglikozidi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B87A" w14:textId="4D6A4AB6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AOAC</w:t>
            </w:r>
            <w:r w:rsidR="00423890">
              <w:rPr>
                <w:rFonts w:ascii="Calibri" w:eastAsia="Times New Roman" w:hAnsi="Calibri" w:cs="Arial"/>
                <w:iCs/>
                <w:lang w:eastAsia="hr-HR"/>
              </w:rPr>
              <w:t xml:space="preserve"> </w:t>
            </w:r>
            <w:r w:rsidR="00423890" w:rsidRPr="00423890">
              <w:rPr>
                <w:rFonts w:ascii="Calibri" w:eastAsia="Times New Roman" w:hAnsi="Calibri" w:cs="Arial"/>
                <w:iCs/>
                <w:lang w:eastAsia="hr-HR"/>
              </w:rPr>
              <w:t>Official Method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0D91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549C59BB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5DC0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Glicirizin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4AEB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PA (2006)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EDBD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6CD2D6B1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9FF9" w14:textId="32013955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Glukozamin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DC11" w14:textId="7AE8AF49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AOAC Official Metho</w:t>
            </w:r>
            <w:r w:rsidR="00423890">
              <w:rPr>
                <w:rFonts w:ascii="Calibri" w:eastAsia="Times New Roman" w:hAnsi="Calibri" w:cs="Arial"/>
                <w:iCs/>
                <w:lang w:eastAsia="hr-HR"/>
              </w:rPr>
              <w:t>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2C07" w14:textId="4B09EB91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0182B1D5" w14:textId="77777777" w:rsidTr="00F14410">
        <w:tc>
          <w:tcPr>
            <w:tcW w:w="4164" w:type="dxa"/>
            <w:shd w:val="clear" w:color="auto" w:fill="auto"/>
          </w:tcPr>
          <w:p w14:paraId="0D2B2E42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Gluten </w:t>
            </w:r>
          </w:p>
        </w:tc>
        <w:tc>
          <w:tcPr>
            <w:tcW w:w="4768" w:type="dxa"/>
            <w:shd w:val="clear" w:color="auto" w:fill="auto"/>
          </w:tcPr>
          <w:p w14:paraId="4C9A4CDA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ELISA test, prema uputi proizvođača R-biopharm</w:t>
            </w:r>
          </w:p>
        </w:tc>
        <w:tc>
          <w:tcPr>
            <w:tcW w:w="1926" w:type="dxa"/>
            <w:shd w:val="clear" w:color="auto" w:fill="auto"/>
          </w:tcPr>
          <w:p w14:paraId="56832DD9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ELISA</w:t>
            </w:r>
          </w:p>
        </w:tc>
      </w:tr>
      <w:tr w:rsidR="00337A7F" w:rsidRPr="00ED0E3F" w14:paraId="5C2A1373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D3F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Hidrokinon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7B73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NBHA (2012)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CDA5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54B815D2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FAD1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Kamfor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0E2E" w14:textId="2EDA91AD" w:rsidR="00337A7F" w:rsidRPr="00ED0E3F" w:rsidRDefault="00A23550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Science </w:t>
            </w:r>
            <w:r w:rsidR="005B3996">
              <w:rPr>
                <w:rFonts w:ascii="Calibri" w:eastAsia="Times New Roman" w:hAnsi="Calibri" w:cs="Arial"/>
                <w:iCs/>
                <w:lang w:eastAsia="hr-HR"/>
              </w:rPr>
              <w:t>J</w:t>
            </w: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ournal - </w:t>
            </w:r>
            <w:r w:rsidR="00337A7F"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JOPR </w:t>
            </w:r>
            <w:r>
              <w:rPr>
                <w:rFonts w:ascii="Calibri" w:eastAsia="Times New Roman" w:hAnsi="Calibri" w:cs="Arial"/>
                <w:iCs/>
                <w:lang w:eastAsia="hr-HR"/>
              </w:rPr>
              <w:t>(</w:t>
            </w:r>
            <w:r w:rsidR="00337A7F" w:rsidRPr="00ED0E3F">
              <w:rPr>
                <w:rFonts w:ascii="Calibri" w:eastAsia="Times New Roman" w:hAnsi="Calibri" w:cs="Arial"/>
                <w:iCs/>
                <w:lang w:eastAsia="hr-HR"/>
              </w:rPr>
              <w:t>2008</w:t>
            </w:r>
            <w:r>
              <w:rPr>
                <w:rFonts w:ascii="Calibri" w:eastAsia="Times New Roman" w:hAnsi="Calibri" w:cs="Arial"/>
                <w:iCs/>
                <w:lang w:eastAsia="hr-HR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9D8E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6F4806" w:rsidRPr="00ED0E3F" w14:paraId="599CE00F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E3EA" w14:textId="651E3CFF" w:rsidR="006F4806" w:rsidRPr="00ED0E3F" w:rsidRDefault="006F4806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Kanabinoidi (CBD, CBDa, </w:t>
            </w:r>
            <w:r>
              <w:rPr>
                <w:rFonts w:ascii="Calibri" w:eastAsia="Times New Roman" w:hAnsi="Calibri" w:cs="Calibri"/>
                <w:iCs/>
                <w:lang w:eastAsia="hr-HR"/>
              </w:rPr>
              <w:t>Δ</w:t>
            </w: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9-THC, </w:t>
            </w:r>
            <w:r>
              <w:rPr>
                <w:rFonts w:ascii="Calibri" w:eastAsia="Times New Roman" w:hAnsi="Calibri" w:cs="Calibri"/>
                <w:iCs/>
                <w:lang w:eastAsia="hr-HR"/>
              </w:rPr>
              <w:t>Δ9-THCa)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933" w14:textId="37BD8CF0" w:rsidR="006F4806" w:rsidRDefault="006F4806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EDQM: PA/PH/OCCL (20) 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7545" w14:textId="2DFF571C" w:rsidR="006F4806" w:rsidRPr="00ED0E3F" w:rsidRDefault="006F4806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01197237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CD6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Kapsaicin i dihidrokapsaicin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9587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AOAC Official Method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0FF7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627B5CC9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68A5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Karvon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526A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Science Journal - doi:10.1007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94F6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2BC0A828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666F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Katehini i galna kiselina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7AE0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ISO 14502-2:2007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D951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2AC086D7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D50F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Kinin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61B7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JLCRT (2009)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64FA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615199" w:rsidRPr="00ED0E3F" w14:paraId="6A12993D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3CE" w14:textId="00B6118A" w:rsidR="00615199" w:rsidRPr="00ED0E3F" w:rsidRDefault="00615199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Krisofanol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F451" w14:textId="52B93864" w:rsidR="00615199" w:rsidRPr="00ED0E3F" w:rsidRDefault="00615199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615199">
              <w:rPr>
                <w:rFonts w:ascii="Calibri" w:eastAsia="Times New Roman" w:hAnsi="Calibri" w:cs="Arial"/>
                <w:iCs/>
                <w:lang w:eastAsia="hr-HR"/>
              </w:rPr>
              <w:t>Scienece journal – DOI 10.1002/pca.1124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9248" w14:textId="4D652303" w:rsidR="00615199" w:rsidRPr="00ED0E3F" w:rsidRDefault="00615199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7D6BE6CF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AC8A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lastRenderedPageBreak/>
              <w:t xml:space="preserve">  Kumarin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FA15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FC (2008)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CA34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3174A72D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7CB3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Kofein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AF47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ISO 10727:2017 (ISO 10727:2002)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FEE1" w14:textId="77777777" w:rsidR="00337A7F" w:rsidRPr="00ED0E3F" w:rsidRDefault="00337A7F" w:rsidP="00337A7F">
            <w:pPr>
              <w:spacing w:after="0" w:line="240" w:lineRule="auto"/>
              <w:ind w:right="-692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24865E97" w14:textId="77777777" w:rsidTr="00D42FEC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2DFC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Kurkumin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F5B6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JAFC (2002)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26CC" w14:textId="77777777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337A7F" w:rsidRPr="00ED0E3F" w14:paraId="60AC6703" w14:textId="77777777" w:rsidTr="00D42FEC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F209" w14:textId="60CE86C4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L-karnitin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28CD" w14:textId="1E3650C5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F14410">
              <w:rPr>
                <w:rFonts w:ascii="Calibri" w:eastAsia="Times New Roman" w:hAnsi="Calibri" w:cs="Arial"/>
                <w:iCs/>
                <w:lang w:eastAsia="hr-HR"/>
              </w:rPr>
              <w:t xml:space="preserve">ISRN </w:t>
            </w:r>
            <w:r w:rsidR="00A23550">
              <w:rPr>
                <w:rFonts w:ascii="Calibri" w:eastAsia="Times New Roman" w:hAnsi="Calibri" w:cs="Arial"/>
                <w:iCs/>
                <w:lang w:eastAsia="hr-HR"/>
              </w:rPr>
              <w:t>(</w:t>
            </w:r>
            <w:r w:rsidRPr="00F14410">
              <w:rPr>
                <w:rFonts w:ascii="Calibri" w:eastAsia="Times New Roman" w:hAnsi="Calibri" w:cs="Arial"/>
                <w:iCs/>
                <w:lang w:eastAsia="hr-HR"/>
              </w:rPr>
              <w:t>2014</w:t>
            </w:r>
            <w:r w:rsidR="00A23550">
              <w:rPr>
                <w:rFonts w:ascii="Calibri" w:eastAsia="Times New Roman" w:hAnsi="Calibri" w:cs="Arial"/>
                <w:iCs/>
                <w:lang w:eastAsia="hr-HR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0421" w14:textId="16F3AEEC" w:rsidR="00337A7F" w:rsidRPr="00ED0E3F" w:rsidRDefault="00337A7F" w:rsidP="00337A7F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594E15B8" w14:textId="77777777" w:rsidTr="00D42FEC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7948" w14:textId="70349293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Melatonin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AAFB" w14:textId="2BE8095D" w:rsidR="008E6043" w:rsidRPr="00F14410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Science Journal – JFCA (2015)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2158" w14:textId="7FBC0747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3F4900E0" w14:textId="77777777" w:rsidTr="006B4B71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8848" w14:textId="6B702E78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Metil-salicilat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15BD" w14:textId="49B39F37" w:rsidR="008E6043" w:rsidRPr="00F14410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TJP Sci. (2011)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B67E" w14:textId="0AEFD0EF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37647E23" w14:textId="77777777" w:rsidTr="006B4B71">
        <w:trPr>
          <w:trHeight w:val="80"/>
        </w:trPr>
        <w:tc>
          <w:tcPr>
            <w:tcW w:w="4164" w:type="dxa"/>
            <w:shd w:val="clear" w:color="auto" w:fill="auto"/>
          </w:tcPr>
          <w:p w14:paraId="153B61D2" w14:textId="2D2F0D09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color w:val="FF0000"/>
                <w:lang w:eastAsia="hr-HR"/>
              </w:rPr>
              <w:t>*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Osmolalitet  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ab/>
            </w:r>
          </w:p>
        </w:tc>
        <w:tc>
          <w:tcPr>
            <w:tcW w:w="4768" w:type="dxa"/>
            <w:shd w:val="clear" w:color="auto" w:fill="auto"/>
          </w:tcPr>
          <w:p w14:paraId="222460F9" w14:textId="0113CC31" w:rsidR="008E6043" w:rsidRPr="00F14410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Metoda prema uputi proizvođača opreme</w:t>
            </w:r>
          </w:p>
        </w:tc>
        <w:tc>
          <w:tcPr>
            <w:tcW w:w="1926" w:type="dxa"/>
            <w:shd w:val="clear" w:color="auto" w:fill="auto"/>
          </w:tcPr>
          <w:p w14:paraId="68A90653" w14:textId="6F8D36EF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Krioskopija</w:t>
            </w:r>
          </w:p>
        </w:tc>
      </w:tr>
      <w:tr w:rsidR="008E6043" w:rsidRPr="00ED0E3F" w14:paraId="1C55C687" w14:textId="77777777" w:rsidTr="006B4B71">
        <w:tc>
          <w:tcPr>
            <w:tcW w:w="4164" w:type="dxa"/>
            <w:shd w:val="clear" w:color="auto" w:fill="auto"/>
          </w:tcPr>
          <w:p w14:paraId="51E791B5" w14:textId="5A1D4D62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bookmarkStart w:id="1" w:name="_Hlk73099215"/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Parabeni i fenoksietanol</w:t>
            </w:r>
          </w:p>
        </w:tc>
        <w:tc>
          <w:tcPr>
            <w:tcW w:w="4768" w:type="dxa"/>
            <w:shd w:val="clear" w:color="auto" w:fill="auto"/>
          </w:tcPr>
          <w:p w14:paraId="3BCDB834" w14:textId="5FB0E1D5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Test protocol PA/PH/COS-PTS (16) 2 FI</w:t>
            </w:r>
          </w:p>
        </w:tc>
        <w:tc>
          <w:tcPr>
            <w:tcW w:w="1926" w:type="dxa"/>
            <w:shd w:val="clear" w:color="auto" w:fill="auto"/>
          </w:tcPr>
          <w:p w14:paraId="5E20687F" w14:textId="3BBBD4A8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43483163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DC39" w14:textId="590B53C3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Piperin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C82" w14:textId="6E2398E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Science Journal – IJHM 2013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3ABE" w14:textId="33A92FB5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27819BA0" w14:textId="77777777" w:rsidTr="006B4B71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7CCE" w14:textId="6BB2C83B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Pulegon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C82" w14:textId="72EEBA03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 JCA (1998)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A09D" w14:textId="31AC35F6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4634FC4E" w14:textId="77777777" w:rsidTr="006B4B71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14E1" w14:textId="0A040DAE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Q10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7B7" w14:textId="4AA70F3C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AOAC</w:t>
            </w: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Official Method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985E" w14:textId="53E8C4A3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72AC06DD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11FA" w14:textId="7731F2E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Rein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9543" w14:textId="0CA52DC6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615199">
              <w:rPr>
                <w:rFonts w:ascii="Calibri" w:eastAsia="Times New Roman" w:hAnsi="Calibri" w:cs="Arial"/>
                <w:iCs/>
                <w:lang w:eastAsia="hr-HR"/>
              </w:rPr>
              <w:t>Scienece journal – DOI 10.1002/pca.1124</w:t>
            </w:r>
            <w:r w:rsidRPr="00615199">
              <w:rPr>
                <w:rFonts w:ascii="Calibri" w:eastAsia="Times New Roman" w:hAnsi="Calibri" w:cs="Arial"/>
                <w:iCs/>
                <w:lang w:eastAsia="hr-HR"/>
              </w:rPr>
              <w:tab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057B" w14:textId="3744D6CA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7CAEFE1B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3B8E" w14:textId="40301338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Rutin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8662" w14:textId="26CB9005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Modified AOAC Official Method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489A" w14:textId="1FCEA7CA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00ABF1FA" w14:textId="77777777" w:rsidTr="006B4B71">
        <w:tc>
          <w:tcPr>
            <w:tcW w:w="4164" w:type="dxa"/>
            <w:shd w:val="clear" w:color="auto" w:fill="auto"/>
          </w:tcPr>
          <w:p w14:paraId="60573A8F" w14:textId="7DE9A34E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Sadržaj eteričnih ulja       </w:t>
            </w:r>
          </w:p>
        </w:tc>
        <w:tc>
          <w:tcPr>
            <w:tcW w:w="4768" w:type="dxa"/>
            <w:shd w:val="clear" w:color="auto" w:fill="auto"/>
          </w:tcPr>
          <w:p w14:paraId="0D6E5765" w14:textId="1568BAA4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Europska farmakopeja</w:t>
            </w:r>
          </w:p>
        </w:tc>
        <w:tc>
          <w:tcPr>
            <w:tcW w:w="1926" w:type="dxa"/>
            <w:shd w:val="clear" w:color="auto" w:fill="auto"/>
          </w:tcPr>
          <w:p w14:paraId="5D1B7031" w14:textId="69E8BAA4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Metoda po Ungeru</w:t>
            </w:r>
          </w:p>
        </w:tc>
      </w:tr>
      <w:tr w:rsidR="008E6043" w:rsidRPr="00ED0E3F" w14:paraId="03EB8670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01C2" w14:textId="45DB32F0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Salicilna kiselina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3E5F" w14:textId="36DC8151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TJP Sci. (2011)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CCFB" w14:textId="46B26D64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619FB43E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C60E" w14:textId="269889E1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Senozidi (A i B)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F6CE" w14:textId="049F12E9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Science journal – PE BIO&amp;SN (2014)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1B79" w14:textId="0AF88AD6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32C3B92E" w14:textId="77777777" w:rsidTr="006B4B71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8CB5" w14:textId="2FDF698D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Silimarin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E1F5" w14:textId="600AD24F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</w:t>
            </w:r>
            <w:r w:rsidRPr="00F14410">
              <w:rPr>
                <w:rFonts w:ascii="Calibri" w:eastAsia="Times New Roman" w:hAnsi="Calibri" w:cs="Arial"/>
                <w:iCs/>
                <w:lang w:eastAsia="hr-HR"/>
              </w:rPr>
              <w:t xml:space="preserve">AJC (2017)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448D" w14:textId="34BBE406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36573D93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D907" w14:textId="342CD813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Teobromin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A7AD" w14:textId="7FBFC3A4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JCS (2008)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7248" w14:textId="661C6F94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70BC1D66" w14:textId="77777777" w:rsidTr="006B4B71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5B6E" w14:textId="276CA41E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>
              <w:rPr>
                <w:rFonts w:ascii="Calibri" w:eastAsia="Times New Roman" w:hAnsi="Calibri" w:cs="Arial"/>
                <w:iCs/>
                <w:lang w:eastAsia="hr-HR"/>
              </w:rPr>
              <w:t xml:space="preserve">  Teofilin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737D" w14:textId="061280ED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F14410">
              <w:rPr>
                <w:rFonts w:eastAsia="Times New Roman" w:cs="Arial"/>
                <w:lang w:eastAsia="hr-HR"/>
              </w:rPr>
              <w:t xml:space="preserve">Science </w:t>
            </w:r>
            <w:r>
              <w:rPr>
                <w:rFonts w:eastAsia="Times New Roman" w:cs="Arial"/>
                <w:lang w:eastAsia="hr-HR"/>
              </w:rPr>
              <w:t>J</w:t>
            </w:r>
            <w:r w:rsidRPr="00F14410">
              <w:rPr>
                <w:rFonts w:eastAsia="Times New Roman" w:cs="Arial"/>
                <w:lang w:eastAsia="hr-HR"/>
              </w:rPr>
              <w:t xml:space="preserve">ournal - JCS (2008)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4CD" w14:textId="112D9033" w:rsidR="008E6043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5B3996">
              <w:rPr>
                <w:rFonts w:eastAsia="Times New Roman" w:cs="Arial"/>
                <w:lang w:eastAsia="hr-HR"/>
              </w:rPr>
              <w:t>HPLC</w:t>
            </w:r>
          </w:p>
        </w:tc>
      </w:tr>
      <w:tr w:rsidR="008E6043" w:rsidRPr="00ED0E3F" w14:paraId="6AE09709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E9BE" w14:textId="053E0F8F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Timokinon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FB89" w14:textId="2683B34A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JLC (2006)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A0" w14:textId="0403DD29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22F72C9A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0F56" w14:textId="231235B8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Tujon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3567" w14:textId="79711C1D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F&amp;FJ (1995)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7E1E" w14:textId="3F860080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52B60073" w14:textId="77777777" w:rsidTr="006B4B71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D0B7" w14:textId="0217DD55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bCs/>
                <w:iCs/>
                <w:lang w:eastAsia="hr-HR"/>
              </w:rPr>
              <w:t xml:space="preserve">  Ukupni flavonoidi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ADDB" w14:textId="5F1472C9" w:rsidR="008E6043" w:rsidRPr="00F14410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SWJ (2012)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9F4C" w14:textId="286F7C7C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Spektrofotometrija</w:t>
            </w:r>
          </w:p>
        </w:tc>
      </w:tr>
      <w:tr w:rsidR="008E6043" w:rsidRPr="00ED0E3F" w14:paraId="51D3D501" w14:textId="77777777" w:rsidTr="006B4B71">
        <w:tc>
          <w:tcPr>
            <w:tcW w:w="4164" w:type="dxa"/>
            <w:shd w:val="clear" w:color="auto" w:fill="auto"/>
          </w:tcPr>
          <w:p w14:paraId="7F76D267" w14:textId="2CB8450D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UV filtri</w:t>
            </w:r>
          </w:p>
        </w:tc>
        <w:tc>
          <w:tcPr>
            <w:tcW w:w="4768" w:type="dxa"/>
            <w:shd w:val="clear" w:color="auto" w:fill="auto"/>
          </w:tcPr>
          <w:p w14:paraId="0C72BE0B" w14:textId="42056A88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HRN EN 17156:2018</w:t>
            </w:r>
          </w:p>
        </w:tc>
        <w:tc>
          <w:tcPr>
            <w:tcW w:w="1926" w:type="dxa"/>
            <w:shd w:val="clear" w:color="auto" w:fill="auto"/>
          </w:tcPr>
          <w:p w14:paraId="28F172F4" w14:textId="4FAC5439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2C0827C6" w14:textId="77777777" w:rsidTr="00F14410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6373" w14:textId="14222840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  Vanilin ( i sintetski oblik: etil-vanilin)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15AE" w14:textId="1E57E99A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Science Journal - FC (2007)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AB6B" w14:textId="5732C298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HPLC</w:t>
            </w:r>
          </w:p>
        </w:tc>
      </w:tr>
      <w:tr w:rsidR="008E6043" w:rsidRPr="00ED0E3F" w14:paraId="14794DBD" w14:textId="77777777" w:rsidTr="006B4B71">
        <w:tc>
          <w:tcPr>
            <w:tcW w:w="4164" w:type="dxa"/>
            <w:shd w:val="clear" w:color="auto" w:fill="auto"/>
          </w:tcPr>
          <w:p w14:paraId="7316F0C9" w14:textId="7777777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ED0E3F">
              <w:rPr>
                <w:rFonts w:ascii="Calibri" w:eastAsia="Times New Roman" w:hAnsi="Calibri" w:cs="Arial"/>
                <w:i/>
                <w:iCs/>
                <w:lang w:eastAsia="hr-HR"/>
              </w:rPr>
              <w:t>Analize u eteričnim uljima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:</w:t>
            </w:r>
            <w:r w:rsidRPr="00ED0E3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14:paraId="522042A2" w14:textId="7777777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Produkti oksidacije i polimerizacije,</w:t>
            </w:r>
          </w:p>
          <w:p w14:paraId="3AA9252E" w14:textId="7777777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Masti i mineralna ulja,</w:t>
            </w:r>
          </w:p>
          <w:p w14:paraId="060437DF" w14:textId="7777777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 xml:space="preserve">Esteri ftalne kiseline i drugi strani esteri, </w:t>
            </w:r>
          </w:p>
          <w:p w14:paraId="6AE01789" w14:textId="7777777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Peroksidni broj, Voda</w:t>
            </w:r>
          </w:p>
          <w:p w14:paraId="31F3E572" w14:textId="7777777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Kiselinski broj, Indeks refrakcije/20</w:t>
            </w:r>
            <w:r w:rsidRPr="00ED0E3F">
              <w:rPr>
                <w:rFonts w:ascii="Calibri" w:eastAsia="Times New Roman" w:hAnsi="Calibri" w:cs="Arial"/>
                <w:iCs/>
                <w:vertAlign w:val="superscript"/>
                <w:lang w:eastAsia="hr-HR"/>
              </w:rPr>
              <w:t>o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C</w:t>
            </w:r>
          </w:p>
          <w:p w14:paraId="4FEAB317" w14:textId="74B617DC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bCs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Relativna gustoća/20</w:t>
            </w:r>
            <w:r w:rsidRPr="00ED0E3F">
              <w:rPr>
                <w:rFonts w:ascii="Calibri" w:eastAsia="Times New Roman" w:hAnsi="Calibri" w:cs="Arial"/>
                <w:iCs/>
                <w:vertAlign w:val="superscript"/>
                <w:lang w:eastAsia="hr-HR"/>
              </w:rPr>
              <w:t>o</w:t>
            </w: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C</w:t>
            </w:r>
            <w:r>
              <w:rPr>
                <w:rFonts w:ascii="Calibri" w:eastAsia="Times New Roman" w:hAnsi="Calibri" w:cs="Arial"/>
                <w:iCs/>
                <w:lang w:eastAsia="hr-HR"/>
              </w:rPr>
              <w:t>, pH, Mutnoća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79E5633A" w14:textId="0554894F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Razne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01C9B28" w14:textId="66CD6537" w:rsidR="008E6043" w:rsidRPr="00ED0E3F" w:rsidRDefault="008E6043" w:rsidP="008E6043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Razne</w:t>
            </w:r>
          </w:p>
        </w:tc>
      </w:tr>
      <w:bookmarkEnd w:id="1"/>
    </w:tbl>
    <w:p w14:paraId="18F05FDF" w14:textId="77777777" w:rsidR="00301914" w:rsidRPr="00ED0E3F" w:rsidRDefault="00301914" w:rsidP="00301914">
      <w:pPr>
        <w:spacing w:after="0" w:line="240" w:lineRule="auto"/>
        <w:ind w:right="-692"/>
        <w:jc w:val="both"/>
        <w:rPr>
          <w:rFonts w:ascii="Calibri" w:eastAsia="Times New Roman" w:hAnsi="Calibri" w:cs="Arial"/>
          <w:iCs/>
          <w:lang w:eastAsia="hr-HR"/>
        </w:rPr>
      </w:pPr>
    </w:p>
    <w:p w14:paraId="589ABB30" w14:textId="77777777" w:rsidR="00301914" w:rsidRPr="00ED0E3F" w:rsidRDefault="00301914" w:rsidP="00301914">
      <w:pPr>
        <w:spacing w:after="0" w:line="240" w:lineRule="auto"/>
        <w:ind w:right="-692"/>
        <w:jc w:val="both"/>
        <w:rPr>
          <w:rFonts w:ascii="Calibri" w:eastAsia="Times New Roman" w:hAnsi="Calibri" w:cs="Arial"/>
          <w:b/>
          <w:iCs/>
          <w:lang w:eastAsia="hr-HR"/>
        </w:rPr>
      </w:pPr>
      <w:bookmarkStart w:id="2" w:name="_Hlk14692910"/>
      <w:r w:rsidRPr="00ED0E3F">
        <w:rPr>
          <w:rFonts w:ascii="Calibri" w:eastAsia="Times New Roman" w:hAnsi="Calibri" w:cs="Arial"/>
          <w:b/>
          <w:iCs/>
          <w:lang w:eastAsia="hr-HR"/>
        </w:rPr>
        <w:t>USLUGE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301914" w:rsidRPr="00ED0E3F" w14:paraId="3E118184" w14:textId="77777777" w:rsidTr="000803EC">
        <w:trPr>
          <w:trHeight w:val="178"/>
        </w:trPr>
        <w:tc>
          <w:tcPr>
            <w:tcW w:w="10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FDB9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bookmarkStart w:id="3" w:name="_Hlk14692924"/>
            <w:bookmarkEnd w:id="2"/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Opis uzorka/Organoleptika</w:t>
            </w:r>
          </w:p>
        </w:tc>
      </w:tr>
      <w:tr w:rsidR="00301914" w:rsidRPr="00ED0E3F" w14:paraId="352C0051" w14:textId="77777777" w:rsidTr="000803EC">
        <w:tc>
          <w:tcPr>
            <w:tcW w:w="10705" w:type="dxa"/>
            <w:shd w:val="clear" w:color="auto" w:fill="auto"/>
            <w:vAlign w:val="center"/>
          </w:tcPr>
          <w:p w14:paraId="40A28097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Deklaracija – pregled, ocjena i izrada, usklađivanje s EU i RH zakonodavstvom, on-hold i zdravstvene tvrdnje</w:t>
            </w:r>
          </w:p>
        </w:tc>
      </w:tr>
      <w:tr w:rsidR="00301914" w:rsidRPr="00ED0E3F" w14:paraId="60E0D26E" w14:textId="77777777" w:rsidTr="000803EC">
        <w:tc>
          <w:tcPr>
            <w:tcW w:w="10705" w:type="dxa"/>
            <w:shd w:val="clear" w:color="auto" w:fill="auto"/>
            <w:vAlign w:val="center"/>
          </w:tcPr>
          <w:p w14:paraId="7414E6A2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Zdravstveni certifikati na hrvatskom i engleskom jeziku</w:t>
            </w:r>
          </w:p>
        </w:tc>
      </w:tr>
      <w:tr w:rsidR="00301914" w:rsidRPr="00ED0E3F" w14:paraId="0B78B0B2" w14:textId="77777777" w:rsidTr="000803EC">
        <w:tc>
          <w:tcPr>
            <w:tcW w:w="10705" w:type="dxa"/>
            <w:shd w:val="clear" w:color="auto" w:fill="auto"/>
            <w:vAlign w:val="center"/>
          </w:tcPr>
          <w:p w14:paraId="2BF5B049" w14:textId="77777777" w:rsidR="00301914" w:rsidRPr="00ED0E3F" w:rsidRDefault="00301914" w:rsidP="00301914">
            <w:pPr>
              <w:spacing w:after="0" w:line="240" w:lineRule="auto"/>
              <w:ind w:right="-692"/>
              <w:jc w:val="both"/>
              <w:rPr>
                <w:rFonts w:ascii="Calibri" w:eastAsia="Times New Roman" w:hAnsi="Calibri" w:cs="Arial"/>
                <w:iCs/>
                <w:lang w:eastAsia="hr-HR"/>
              </w:rPr>
            </w:pPr>
            <w:r w:rsidRPr="00ED0E3F">
              <w:rPr>
                <w:rFonts w:ascii="Calibri" w:eastAsia="Times New Roman" w:hAnsi="Calibri" w:cs="Arial"/>
                <w:iCs/>
                <w:lang w:eastAsia="hr-HR"/>
              </w:rPr>
              <w:t>Savjetovanje</w:t>
            </w:r>
          </w:p>
        </w:tc>
      </w:tr>
      <w:bookmarkEnd w:id="3"/>
    </w:tbl>
    <w:p w14:paraId="301F5DC7" w14:textId="77777777" w:rsidR="00301914" w:rsidRPr="00ED0E3F" w:rsidRDefault="00301914" w:rsidP="00301914">
      <w:pPr>
        <w:spacing w:after="0" w:line="240" w:lineRule="auto"/>
        <w:ind w:right="-692"/>
        <w:jc w:val="both"/>
        <w:rPr>
          <w:rFonts w:ascii="Calibri" w:eastAsia="Times New Roman" w:hAnsi="Calibri" w:cs="Arial"/>
          <w:iCs/>
          <w:lang w:eastAsia="hr-HR"/>
        </w:rPr>
      </w:pPr>
    </w:p>
    <w:p w14:paraId="3E5D6F37" w14:textId="77777777" w:rsidR="00301914" w:rsidRPr="00ED0E3F" w:rsidRDefault="00301914" w:rsidP="00301914">
      <w:pPr>
        <w:spacing w:after="0" w:line="240" w:lineRule="auto"/>
        <w:ind w:right="-692"/>
        <w:jc w:val="both"/>
        <w:rPr>
          <w:rFonts w:ascii="Calibri" w:eastAsia="Times New Roman" w:hAnsi="Calibri" w:cs="Arial"/>
          <w:iCs/>
          <w:lang w:eastAsia="hr-HR"/>
        </w:rPr>
      </w:pPr>
      <w:r w:rsidRPr="00ED0E3F">
        <w:rPr>
          <w:rFonts w:ascii="Calibri" w:eastAsia="Times New Roman" w:hAnsi="Calibri" w:cs="Arial"/>
          <w:iCs/>
          <w:color w:val="FF0000"/>
          <w:lang w:eastAsia="hr-HR"/>
        </w:rPr>
        <w:t xml:space="preserve">* </w:t>
      </w:r>
      <w:r w:rsidRPr="00ED0E3F">
        <w:rPr>
          <w:rFonts w:ascii="Calibri" w:eastAsia="Times New Roman" w:hAnsi="Calibri" w:cs="Arial"/>
          <w:iCs/>
          <w:lang w:eastAsia="hr-HR"/>
        </w:rPr>
        <w:t>- Akreditirane metode prema HRN EN ISO/IEC 17025:2007</w:t>
      </w:r>
    </w:p>
    <w:p w14:paraId="7BBCBE00" w14:textId="77777777" w:rsidR="00D3445E" w:rsidRDefault="00026935"/>
    <w:sectPr w:rsidR="00D3445E" w:rsidSect="00301914">
      <w:pgSz w:w="12240" w:h="15840"/>
      <w:pgMar w:top="0" w:right="692" w:bottom="85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5B5D" w14:textId="77777777" w:rsidR="00026935" w:rsidRDefault="00026935">
      <w:pPr>
        <w:spacing w:after="0" w:line="240" w:lineRule="auto"/>
      </w:pPr>
      <w:r>
        <w:separator/>
      </w:r>
    </w:p>
  </w:endnote>
  <w:endnote w:type="continuationSeparator" w:id="0">
    <w:p w14:paraId="4ABA927C" w14:textId="77777777" w:rsidR="00026935" w:rsidRDefault="0002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12A1" w14:textId="77777777" w:rsidR="00026935" w:rsidRDefault="00026935">
      <w:pPr>
        <w:spacing w:after="0" w:line="240" w:lineRule="auto"/>
      </w:pPr>
      <w:r>
        <w:separator/>
      </w:r>
    </w:p>
  </w:footnote>
  <w:footnote w:type="continuationSeparator" w:id="0">
    <w:p w14:paraId="0681FFF1" w14:textId="77777777" w:rsidR="00026935" w:rsidRDefault="00026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14"/>
    <w:rsid w:val="0000343C"/>
    <w:rsid w:val="00026776"/>
    <w:rsid w:val="00026935"/>
    <w:rsid w:val="0027728F"/>
    <w:rsid w:val="00281926"/>
    <w:rsid w:val="002D1588"/>
    <w:rsid w:val="00301914"/>
    <w:rsid w:val="00337A7F"/>
    <w:rsid w:val="00423890"/>
    <w:rsid w:val="00431ECA"/>
    <w:rsid w:val="004741A2"/>
    <w:rsid w:val="004F0483"/>
    <w:rsid w:val="0057368B"/>
    <w:rsid w:val="005B3996"/>
    <w:rsid w:val="00615199"/>
    <w:rsid w:val="006F4806"/>
    <w:rsid w:val="00740E78"/>
    <w:rsid w:val="0075691E"/>
    <w:rsid w:val="00801DB7"/>
    <w:rsid w:val="008D0E2F"/>
    <w:rsid w:val="008E6043"/>
    <w:rsid w:val="009D230D"/>
    <w:rsid w:val="00A23550"/>
    <w:rsid w:val="00D42FEC"/>
    <w:rsid w:val="00ED0E3F"/>
    <w:rsid w:val="00EE3F6E"/>
    <w:rsid w:val="00F14410"/>
    <w:rsid w:val="00F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1C42"/>
  <w15:chartTrackingRefBased/>
  <w15:docId w15:val="{D74620A9-A397-4C28-9E73-B6E7BB3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914"/>
  </w:style>
  <w:style w:type="paragraph" w:styleId="Footer">
    <w:name w:val="footer"/>
    <w:basedOn w:val="Normal"/>
    <w:link w:val="FooterChar"/>
    <w:uiPriority w:val="99"/>
    <w:semiHidden/>
    <w:unhideWhenUsed/>
    <w:rsid w:val="0030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Ladan</dc:creator>
  <cp:keywords/>
  <dc:description/>
  <cp:lastModifiedBy>Andrea Adanić</cp:lastModifiedBy>
  <cp:revision>2</cp:revision>
  <dcterms:created xsi:type="dcterms:W3CDTF">2021-06-29T06:20:00Z</dcterms:created>
  <dcterms:modified xsi:type="dcterms:W3CDTF">2021-06-29T06:20:00Z</dcterms:modified>
</cp:coreProperties>
</file>