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EB" w:rsidRDefault="000345BC" w:rsidP="009F26F7">
      <w:pPr>
        <w:spacing w:after="240"/>
        <w:jc w:val="both"/>
        <w:rPr>
          <w:rFonts w:ascii="Arial" w:hAnsi="Arial" w:cs="Arial"/>
          <w:i/>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-537845</wp:posOffset>
                </wp:positionV>
                <wp:extent cx="6718300" cy="425450"/>
                <wp:effectExtent l="57150" t="38100" r="82550" b="8890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0" cy="4254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4F7AF6" w:rsidRPr="00B650E3" w:rsidRDefault="004F7AF6" w:rsidP="00B56260">
                            <w:pPr>
                              <w:jc w:val="center"/>
                              <w:rPr>
                                <w:rFonts w:ascii="Arial" w:hAnsi="Arial" w:cs="Arial"/>
                                <w:b/>
                                <w:color w:val="002060"/>
                                <w:sz w:val="22"/>
                                <w:szCs w:val="22"/>
                              </w:rPr>
                            </w:pPr>
                            <w:r w:rsidRPr="00B650E3">
                              <w:rPr>
                                <w:rFonts w:ascii="Arial" w:hAnsi="Arial" w:cs="Arial"/>
                                <w:b/>
                                <w:color w:val="002060"/>
                                <w:sz w:val="22"/>
                                <w:szCs w:val="22"/>
                              </w:rPr>
                              <w:t>USPOREDBA STANJA PROBLEMATIKE DROGA U REPUBLICI HRVATSKOJ I E</w:t>
                            </w:r>
                            <w:r w:rsidR="00A2356C">
                              <w:rPr>
                                <w:rFonts w:ascii="Arial" w:hAnsi="Arial" w:cs="Arial"/>
                                <w:b/>
                                <w:color w:val="002060"/>
                                <w:sz w:val="22"/>
                                <w:szCs w:val="22"/>
                              </w:rPr>
                              <w:t>UROPI</w:t>
                            </w:r>
                            <w:r w:rsidRPr="00B650E3">
                              <w:rPr>
                                <w:rFonts w:ascii="Arial" w:hAnsi="Arial" w:cs="Arial"/>
                                <w:b/>
                                <w:color w:val="002060"/>
                                <w:sz w:val="22"/>
                                <w:szCs w:val="22"/>
                              </w:rPr>
                              <w:t xml:space="preserve">  (P</w:t>
                            </w:r>
                            <w:r w:rsidR="00B04315">
                              <w:rPr>
                                <w:rFonts w:ascii="Arial" w:hAnsi="Arial" w:cs="Arial"/>
                                <w:b/>
                                <w:color w:val="002060"/>
                                <w:sz w:val="22"/>
                                <w:szCs w:val="22"/>
                              </w:rPr>
                              <w:t>REMA ZADNJIM DOSTUPNIM PODACIMA</w:t>
                            </w:r>
                            <w:r w:rsidRPr="00B650E3">
                              <w:rPr>
                                <w:rFonts w:ascii="Arial" w:hAnsi="Arial" w:cs="Arial"/>
                                <w:b/>
                                <w:color w:val="002060"/>
                                <w:sz w:val="22"/>
                                <w:szCs w:val="22"/>
                              </w:rPr>
                              <w:t>)</w:t>
                            </w:r>
                          </w:p>
                          <w:p w:rsidR="004F7AF6" w:rsidRPr="00B650E3" w:rsidRDefault="004F7AF6" w:rsidP="00B56260">
                            <w:pPr>
                              <w:jc w:val="center"/>
                              <w:rPr>
                                <w:color w:val="002060"/>
                              </w:rPr>
                            </w:pPr>
                            <w:r w:rsidRPr="00B650E3">
                              <w:rPr>
                                <w:color w:val="00206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pt;margin-top:-42.35pt;width:529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" fillcolor="#a5d5e2 [1624]" strokecolor="#40a7c2 [3048]">
                <v:fill color2="#e4f2f6 [504]" rotate="t" angle="180" colors="0 #9eeaff;22938f #bbefff;1 #e4f9ff" focus="100%" type="gradient"/>
                <v:shadow on="t" color="black" opacity="24903f" origin=",.5" offset="0,.55556mm"/>
                <v:textbox>
                  <w:txbxContent>
                    <w:p w:rsidR="004F7AF6" w:rsidRPr="00B650E3" w:rsidRDefault="004F7AF6" w:rsidP="00B56260">
                      <w:pPr>
                        <w:jc w:val="center"/>
                        <w:rPr>
                          <w:rFonts w:ascii="Arial" w:hAnsi="Arial" w:cs="Arial"/>
                          <w:b/>
                          <w:color w:val="002060"/>
                          <w:sz w:val="22"/>
                          <w:szCs w:val="22"/>
                        </w:rPr>
                      </w:pPr>
                      <w:r w:rsidRPr="00B650E3">
                        <w:rPr>
                          <w:rFonts w:ascii="Arial" w:hAnsi="Arial" w:cs="Arial"/>
                          <w:b/>
                          <w:color w:val="002060"/>
                          <w:sz w:val="22"/>
                          <w:szCs w:val="22"/>
                        </w:rPr>
                        <w:t>USPOREDBA STANJA PROBLEMATIKE DROGA U REPUBLICI HRVATSKOJ I E</w:t>
                      </w:r>
                      <w:r w:rsidR="00A2356C">
                        <w:rPr>
                          <w:rFonts w:ascii="Arial" w:hAnsi="Arial" w:cs="Arial"/>
                          <w:b/>
                          <w:color w:val="002060"/>
                          <w:sz w:val="22"/>
                          <w:szCs w:val="22"/>
                        </w:rPr>
                        <w:t>UROPI</w:t>
                      </w:r>
                      <w:r w:rsidRPr="00B650E3">
                        <w:rPr>
                          <w:rFonts w:ascii="Arial" w:hAnsi="Arial" w:cs="Arial"/>
                          <w:b/>
                          <w:color w:val="002060"/>
                          <w:sz w:val="22"/>
                          <w:szCs w:val="22"/>
                        </w:rPr>
                        <w:t xml:space="preserve">  (P</w:t>
                      </w:r>
                      <w:r w:rsidR="00B04315">
                        <w:rPr>
                          <w:rFonts w:ascii="Arial" w:hAnsi="Arial" w:cs="Arial"/>
                          <w:b/>
                          <w:color w:val="002060"/>
                          <w:sz w:val="22"/>
                          <w:szCs w:val="22"/>
                        </w:rPr>
                        <w:t>REMA ZADNJIM DOSTUPNIM PODACIMA</w:t>
                      </w:r>
                      <w:r w:rsidRPr="00B650E3">
                        <w:rPr>
                          <w:rFonts w:ascii="Arial" w:hAnsi="Arial" w:cs="Arial"/>
                          <w:b/>
                          <w:color w:val="002060"/>
                          <w:sz w:val="22"/>
                          <w:szCs w:val="22"/>
                        </w:rPr>
                        <w:t>)</w:t>
                      </w:r>
                    </w:p>
                    <w:p w:rsidR="004F7AF6" w:rsidRPr="00B650E3" w:rsidRDefault="004F7AF6" w:rsidP="00B56260">
                      <w:pPr>
                        <w:jc w:val="center"/>
                        <w:rPr>
                          <w:color w:val="002060"/>
                        </w:rPr>
                      </w:pPr>
                      <w:r w:rsidRPr="00B650E3">
                        <w:rPr>
                          <w:color w:val="002060"/>
                        </w:rPr>
                        <w:t>.</w:t>
                      </w:r>
                    </w:p>
                  </w:txbxContent>
                </v:textbox>
              </v:rect>
            </w:pict>
          </mc:Fallback>
        </mc:AlternateContent>
      </w:r>
      <w:r w:rsidR="00E02D60" w:rsidRPr="00E02D60">
        <w:rPr>
          <w:rFonts w:ascii="Arial" w:hAnsi="Arial" w:cs="Arial"/>
          <w:i/>
          <w:sz w:val="20"/>
          <w:szCs w:val="20"/>
        </w:rPr>
        <w:t xml:space="preserve">U nastavku se daje prikaz </w:t>
      </w:r>
      <w:r w:rsidR="00E02D60">
        <w:rPr>
          <w:rFonts w:ascii="Arial" w:hAnsi="Arial" w:cs="Arial"/>
          <w:i/>
          <w:sz w:val="20"/>
          <w:szCs w:val="20"/>
        </w:rPr>
        <w:t xml:space="preserve">posljednjih </w:t>
      </w:r>
      <w:r w:rsidR="00E02D60" w:rsidRPr="00E02D60">
        <w:rPr>
          <w:rFonts w:ascii="Arial" w:hAnsi="Arial" w:cs="Arial"/>
          <w:i/>
          <w:sz w:val="20"/>
          <w:szCs w:val="20"/>
        </w:rPr>
        <w:t>dostupnih informacija Europskog centra za praćenje droga</w:t>
      </w:r>
      <w:r w:rsidR="00A2356C">
        <w:rPr>
          <w:rFonts w:ascii="Arial" w:hAnsi="Arial" w:cs="Arial"/>
          <w:i/>
          <w:sz w:val="20"/>
          <w:szCs w:val="20"/>
        </w:rPr>
        <w:t xml:space="preserve"> i ovisnosti o drogama (EMCDDA), objavljenih u </w:t>
      </w:r>
      <w:r w:rsidR="00A2356C" w:rsidRPr="00A2356C">
        <w:rPr>
          <w:rFonts w:ascii="Arial" w:hAnsi="Arial" w:cs="Arial"/>
          <w:i/>
          <w:sz w:val="20"/>
          <w:szCs w:val="20"/>
        </w:rPr>
        <w:t>Europsko</w:t>
      </w:r>
      <w:r w:rsidR="00A2356C">
        <w:rPr>
          <w:rFonts w:ascii="Arial" w:hAnsi="Arial" w:cs="Arial"/>
          <w:i/>
          <w:sz w:val="20"/>
          <w:szCs w:val="20"/>
        </w:rPr>
        <w:t>m</w:t>
      </w:r>
      <w:r w:rsidR="00A2356C" w:rsidRPr="00A2356C">
        <w:rPr>
          <w:rFonts w:ascii="Arial" w:hAnsi="Arial" w:cs="Arial"/>
          <w:i/>
          <w:sz w:val="20"/>
          <w:szCs w:val="20"/>
        </w:rPr>
        <w:t xml:space="preserve"> izvješć</w:t>
      </w:r>
      <w:r w:rsidR="00A2356C">
        <w:rPr>
          <w:rFonts w:ascii="Arial" w:hAnsi="Arial" w:cs="Arial"/>
          <w:i/>
          <w:sz w:val="20"/>
          <w:szCs w:val="20"/>
        </w:rPr>
        <w:t>u o drogama (EDR) iz 2022. godine</w:t>
      </w:r>
      <w:r w:rsidR="00BA0D94">
        <w:rPr>
          <w:rFonts w:ascii="Arial" w:hAnsi="Arial" w:cs="Arial"/>
          <w:i/>
          <w:sz w:val="20"/>
          <w:szCs w:val="20"/>
        </w:rPr>
        <w:t xml:space="preserve"> (odnosi se na stanje u 2020. godini)</w:t>
      </w:r>
      <w:r w:rsidR="00A2356C">
        <w:rPr>
          <w:rFonts w:ascii="Arial" w:hAnsi="Arial" w:cs="Arial"/>
          <w:i/>
          <w:sz w:val="20"/>
          <w:szCs w:val="20"/>
        </w:rPr>
        <w:t>.</w:t>
      </w:r>
    </w:p>
    <w:p w:rsidR="000C4EEB" w:rsidRPr="00B650E3" w:rsidRDefault="000C4EEB" w:rsidP="000C4EEB">
      <w:pPr>
        <w:jc w:val="both"/>
        <w:rPr>
          <w:rFonts w:ascii="Arial" w:hAnsi="Arial" w:cs="Arial"/>
          <w:b/>
          <w:color w:val="7030A0"/>
          <w:sz w:val="22"/>
          <w:szCs w:val="22"/>
        </w:rPr>
      </w:pPr>
      <w:r w:rsidRPr="00B650E3">
        <w:rPr>
          <w:rFonts w:ascii="Arial" w:hAnsi="Arial" w:cs="Arial"/>
          <w:b/>
          <w:color w:val="7030A0"/>
          <w:sz w:val="22"/>
          <w:szCs w:val="22"/>
        </w:rPr>
        <w:t>Utjecaj COVID-19 na potražnju i ponudu droga</w:t>
      </w:r>
    </w:p>
    <w:p w:rsidR="00A2356C" w:rsidRDefault="00A2356C" w:rsidP="00A2356C">
      <w:pPr>
        <w:jc w:val="both"/>
        <w:rPr>
          <w:rFonts w:ascii="Arial" w:hAnsi="Arial" w:cs="Arial"/>
          <w:sz w:val="20"/>
          <w:szCs w:val="20"/>
        </w:rPr>
      </w:pPr>
    </w:p>
    <w:p w:rsidR="00A2356C" w:rsidRDefault="003B3D7E" w:rsidP="003B3D7E">
      <w:pPr>
        <w:jc w:val="both"/>
        <w:rPr>
          <w:rFonts w:ascii="Arial" w:hAnsi="Arial" w:cs="Arial"/>
          <w:sz w:val="20"/>
          <w:szCs w:val="20"/>
        </w:rPr>
      </w:pPr>
      <w:proofErr w:type="spellStart"/>
      <w:r>
        <w:rPr>
          <w:rFonts w:ascii="Arial" w:hAnsi="Arial" w:cs="Arial"/>
          <w:sz w:val="20"/>
          <w:szCs w:val="20"/>
        </w:rPr>
        <w:t>P</w:t>
      </w:r>
      <w:r w:rsidRPr="003B3D7E">
        <w:rPr>
          <w:rFonts w:ascii="Arial" w:hAnsi="Arial" w:cs="Arial"/>
          <w:sz w:val="20"/>
          <w:szCs w:val="20"/>
        </w:rPr>
        <w:t>andemija</w:t>
      </w:r>
      <w:proofErr w:type="spellEnd"/>
      <w:r>
        <w:rPr>
          <w:rFonts w:ascii="Arial" w:hAnsi="Arial" w:cs="Arial"/>
          <w:sz w:val="20"/>
          <w:szCs w:val="20"/>
        </w:rPr>
        <w:t xml:space="preserve"> </w:t>
      </w:r>
      <w:r w:rsidRPr="003B3D7E">
        <w:rPr>
          <w:rFonts w:ascii="Arial" w:hAnsi="Arial" w:cs="Arial"/>
          <w:sz w:val="20"/>
          <w:szCs w:val="20"/>
        </w:rPr>
        <w:t>bolesti COVID-19 negativno je utjecala na gospodarstvo europskog noćnog života,</w:t>
      </w:r>
      <w:r>
        <w:rPr>
          <w:rFonts w:ascii="Arial" w:hAnsi="Arial" w:cs="Arial"/>
          <w:sz w:val="20"/>
          <w:szCs w:val="20"/>
        </w:rPr>
        <w:t xml:space="preserve"> </w:t>
      </w:r>
      <w:r w:rsidRPr="003B3D7E">
        <w:rPr>
          <w:rFonts w:ascii="Arial" w:hAnsi="Arial" w:cs="Arial"/>
          <w:sz w:val="20"/>
          <w:szCs w:val="20"/>
        </w:rPr>
        <w:t>što je posljedično rezultiralo padom potražnje s</w:t>
      </w:r>
      <w:r>
        <w:rPr>
          <w:rFonts w:ascii="Arial" w:hAnsi="Arial" w:cs="Arial"/>
          <w:sz w:val="20"/>
          <w:szCs w:val="20"/>
        </w:rPr>
        <w:t>timulansa tijekom 2020. godine. Ograničenja kretanja su također opstruirala dopremanje proizvoda kanabisa s područja tradicionalne proizvodnje poput Maroka i Albanije. Međutim, ubrzo je na</w:t>
      </w:r>
      <w:r w:rsidR="00A2356C">
        <w:rPr>
          <w:rFonts w:ascii="Arial" w:hAnsi="Arial" w:cs="Arial"/>
          <w:sz w:val="20"/>
          <w:szCs w:val="20"/>
        </w:rPr>
        <w:t xml:space="preserve"> </w:t>
      </w:r>
      <w:r w:rsidR="00A2356C" w:rsidRPr="00A2356C">
        <w:rPr>
          <w:rFonts w:ascii="Arial" w:hAnsi="Arial" w:cs="Arial"/>
          <w:sz w:val="20"/>
          <w:szCs w:val="20"/>
        </w:rPr>
        <w:t>europsko</w:t>
      </w:r>
      <w:r w:rsidR="00A2356C">
        <w:rPr>
          <w:rFonts w:ascii="Arial" w:hAnsi="Arial" w:cs="Arial"/>
          <w:sz w:val="20"/>
          <w:szCs w:val="20"/>
        </w:rPr>
        <w:t>m</w:t>
      </w:r>
      <w:r w:rsidR="00A2356C" w:rsidRPr="00A2356C">
        <w:rPr>
          <w:rFonts w:ascii="Arial" w:hAnsi="Arial" w:cs="Arial"/>
          <w:sz w:val="20"/>
          <w:szCs w:val="20"/>
        </w:rPr>
        <w:t xml:space="preserve"> tržišt</w:t>
      </w:r>
      <w:r w:rsidR="00A2356C">
        <w:rPr>
          <w:rFonts w:ascii="Arial" w:hAnsi="Arial" w:cs="Arial"/>
          <w:sz w:val="20"/>
          <w:szCs w:val="20"/>
        </w:rPr>
        <w:t xml:space="preserve">u droga zamijećen </w:t>
      </w:r>
      <w:r w:rsidR="00A2356C" w:rsidRPr="00A2356C">
        <w:rPr>
          <w:rFonts w:ascii="Arial" w:hAnsi="Arial" w:cs="Arial"/>
          <w:sz w:val="20"/>
          <w:szCs w:val="20"/>
        </w:rPr>
        <w:t>brz</w:t>
      </w:r>
      <w:r w:rsidR="00A2356C">
        <w:rPr>
          <w:rFonts w:ascii="Arial" w:hAnsi="Arial" w:cs="Arial"/>
          <w:sz w:val="20"/>
          <w:szCs w:val="20"/>
        </w:rPr>
        <w:t>i</w:t>
      </w:r>
      <w:r w:rsidR="00A2356C" w:rsidRPr="00A2356C">
        <w:rPr>
          <w:rFonts w:ascii="Arial" w:hAnsi="Arial" w:cs="Arial"/>
          <w:sz w:val="20"/>
          <w:szCs w:val="20"/>
        </w:rPr>
        <w:t xml:space="preserve"> ponovn</w:t>
      </w:r>
      <w:r w:rsidR="00A2356C">
        <w:rPr>
          <w:rFonts w:ascii="Arial" w:hAnsi="Arial" w:cs="Arial"/>
          <w:sz w:val="20"/>
          <w:szCs w:val="20"/>
        </w:rPr>
        <w:t>i</w:t>
      </w:r>
      <w:r w:rsidR="00A2356C" w:rsidRPr="00A2356C">
        <w:rPr>
          <w:rFonts w:ascii="Arial" w:hAnsi="Arial" w:cs="Arial"/>
          <w:sz w:val="20"/>
          <w:szCs w:val="20"/>
        </w:rPr>
        <w:t xml:space="preserve"> uzlet ponude i konzumacije droga</w:t>
      </w:r>
      <w:r w:rsidR="00A2356C">
        <w:rPr>
          <w:rFonts w:ascii="Arial" w:hAnsi="Arial" w:cs="Arial"/>
          <w:sz w:val="20"/>
          <w:szCs w:val="20"/>
        </w:rPr>
        <w:t>,</w:t>
      </w:r>
      <w:r w:rsidR="00A2356C" w:rsidRPr="00A2356C">
        <w:rPr>
          <w:rFonts w:ascii="Arial" w:hAnsi="Arial" w:cs="Arial"/>
          <w:sz w:val="20"/>
          <w:szCs w:val="20"/>
        </w:rPr>
        <w:t xml:space="preserve"> nakon promjena izazvanih ograničavanjem socijalnih kontakata i uvođenjem mjera nadzora granica tijekom </w:t>
      </w:r>
      <w:proofErr w:type="spellStart"/>
      <w:r w:rsidR="00A2356C" w:rsidRPr="00A2356C">
        <w:rPr>
          <w:rFonts w:ascii="Arial" w:hAnsi="Arial" w:cs="Arial"/>
          <w:sz w:val="20"/>
          <w:szCs w:val="20"/>
        </w:rPr>
        <w:t>pandemije</w:t>
      </w:r>
      <w:proofErr w:type="spellEnd"/>
      <w:r w:rsidR="00A2356C" w:rsidRPr="00A2356C">
        <w:rPr>
          <w:rFonts w:ascii="Arial" w:hAnsi="Arial" w:cs="Arial"/>
          <w:sz w:val="20"/>
          <w:szCs w:val="20"/>
        </w:rPr>
        <w:t xml:space="preserve"> bolesti COVID-</w:t>
      </w:r>
      <w:r w:rsidR="00A2356C">
        <w:rPr>
          <w:rFonts w:ascii="Arial" w:hAnsi="Arial" w:cs="Arial"/>
          <w:sz w:val="20"/>
          <w:szCs w:val="20"/>
        </w:rPr>
        <w:t>1</w:t>
      </w:r>
      <w:r w:rsidR="00A2356C" w:rsidRPr="00A2356C">
        <w:rPr>
          <w:rFonts w:ascii="Arial" w:hAnsi="Arial" w:cs="Arial"/>
          <w:sz w:val="20"/>
          <w:szCs w:val="20"/>
        </w:rPr>
        <w:t xml:space="preserve">9. </w:t>
      </w:r>
      <w:r w:rsidR="00A2356C">
        <w:rPr>
          <w:rFonts w:ascii="Arial" w:hAnsi="Arial" w:cs="Arial"/>
          <w:sz w:val="20"/>
          <w:szCs w:val="20"/>
        </w:rPr>
        <w:t>Situacija je dodatno potaknula</w:t>
      </w:r>
      <w:r w:rsidR="00A2356C" w:rsidRPr="00A2356C">
        <w:rPr>
          <w:rFonts w:ascii="Arial" w:hAnsi="Arial" w:cs="Arial"/>
          <w:sz w:val="20"/>
          <w:szCs w:val="20"/>
        </w:rPr>
        <w:t xml:space="preserve"> digitalizacij</w:t>
      </w:r>
      <w:r w:rsidR="00A2356C">
        <w:rPr>
          <w:rFonts w:ascii="Arial" w:hAnsi="Arial" w:cs="Arial"/>
          <w:sz w:val="20"/>
          <w:szCs w:val="20"/>
        </w:rPr>
        <w:t>u</w:t>
      </w:r>
      <w:r w:rsidR="00A2356C" w:rsidRPr="00A2356C">
        <w:rPr>
          <w:rFonts w:ascii="Arial" w:hAnsi="Arial" w:cs="Arial"/>
          <w:sz w:val="20"/>
          <w:szCs w:val="20"/>
        </w:rPr>
        <w:t xml:space="preserve"> tržišta droga</w:t>
      </w:r>
      <w:r w:rsidR="00A2356C">
        <w:rPr>
          <w:rFonts w:ascii="Arial" w:hAnsi="Arial" w:cs="Arial"/>
          <w:sz w:val="20"/>
          <w:szCs w:val="20"/>
        </w:rPr>
        <w:t xml:space="preserve">, o čemu govore </w:t>
      </w:r>
      <w:r w:rsidR="00A2356C" w:rsidRPr="00A2356C">
        <w:rPr>
          <w:rFonts w:ascii="Arial" w:hAnsi="Arial" w:cs="Arial"/>
          <w:sz w:val="20"/>
          <w:szCs w:val="20"/>
        </w:rPr>
        <w:t>informacij</w:t>
      </w:r>
      <w:r w:rsidR="00A2356C">
        <w:rPr>
          <w:rFonts w:ascii="Arial" w:hAnsi="Arial" w:cs="Arial"/>
          <w:sz w:val="20"/>
          <w:szCs w:val="20"/>
        </w:rPr>
        <w:t>e</w:t>
      </w:r>
      <w:r w:rsidR="00A2356C" w:rsidRPr="00A2356C">
        <w:rPr>
          <w:rFonts w:ascii="Arial" w:hAnsi="Arial" w:cs="Arial"/>
          <w:sz w:val="20"/>
          <w:szCs w:val="20"/>
        </w:rPr>
        <w:t xml:space="preserve"> o sve češćoj uporabi aplikacija društvenih mreža, kao i šifriranih usluga </w:t>
      </w:r>
      <w:r w:rsidR="00A2356C">
        <w:rPr>
          <w:rFonts w:ascii="Arial" w:hAnsi="Arial" w:cs="Arial"/>
          <w:sz w:val="20"/>
          <w:szCs w:val="20"/>
        </w:rPr>
        <w:t>koje omogućuju</w:t>
      </w:r>
      <w:r w:rsidR="00A2356C" w:rsidRPr="00A2356C">
        <w:rPr>
          <w:rFonts w:ascii="Arial" w:hAnsi="Arial" w:cs="Arial"/>
          <w:sz w:val="20"/>
          <w:szCs w:val="20"/>
        </w:rPr>
        <w:t xml:space="preserve"> kupovinu droga. </w:t>
      </w:r>
    </w:p>
    <w:p w:rsidR="00A2356C" w:rsidRPr="00A2356C" w:rsidRDefault="00A2356C" w:rsidP="00A2356C">
      <w:pPr>
        <w:jc w:val="both"/>
        <w:rPr>
          <w:rFonts w:ascii="Arial" w:hAnsi="Arial" w:cs="Arial"/>
          <w:sz w:val="20"/>
          <w:szCs w:val="20"/>
        </w:rPr>
      </w:pPr>
    </w:p>
    <w:p w:rsidR="00BA0D94" w:rsidRDefault="00A2356C" w:rsidP="00A2356C">
      <w:pPr>
        <w:jc w:val="both"/>
        <w:rPr>
          <w:rFonts w:ascii="Arial" w:hAnsi="Arial" w:cs="Arial"/>
          <w:sz w:val="20"/>
          <w:szCs w:val="20"/>
        </w:rPr>
      </w:pPr>
      <w:r w:rsidRPr="00A2356C">
        <w:rPr>
          <w:rFonts w:ascii="Arial" w:hAnsi="Arial" w:cs="Arial"/>
          <w:sz w:val="20"/>
          <w:szCs w:val="20"/>
        </w:rPr>
        <w:t xml:space="preserve">Pozitivno je to što su tijekom </w:t>
      </w:r>
      <w:proofErr w:type="spellStart"/>
      <w:r w:rsidRPr="00A2356C">
        <w:rPr>
          <w:rFonts w:ascii="Arial" w:hAnsi="Arial" w:cs="Arial"/>
          <w:sz w:val="20"/>
          <w:szCs w:val="20"/>
        </w:rPr>
        <w:t>pandemije</w:t>
      </w:r>
      <w:proofErr w:type="spellEnd"/>
      <w:r w:rsidRPr="00A2356C">
        <w:rPr>
          <w:rFonts w:ascii="Arial" w:hAnsi="Arial" w:cs="Arial"/>
          <w:sz w:val="20"/>
          <w:szCs w:val="20"/>
        </w:rPr>
        <w:t xml:space="preserve"> </w:t>
      </w:r>
      <w:r w:rsidR="00144A61">
        <w:rPr>
          <w:rFonts w:ascii="Arial" w:hAnsi="Arial" w:cs="Arial"/>
          <w:sz w:val="20"/>
          <w:szCs w:val="20"/>
        </w:rPr>
        <w:t xml:space="preserve">razvijene </w:t>
      </w:r>
      <w:r w:rsidRPr="00A2356C">
        <w:rPr>
          <w:rFonts w:ascii="Arial" w:hAnsi="Arial" w:cs="Arial"/>
          <w:sz w:val="20"/>
          <w:szCs w:val="20"/>
        </w:rPr>
        <w:t xml:space="preserve">inovacije </w:t>
      </w:r>
      <w:r w:rsidR="00144A61">
        <w:rPr>
          <w:rFonts w:ascii="Arial" w:hAnsi="Arial" w:cs="Arial"/>
          <w:sz w:val="20"/>
          <w:szCs w:val="20"/>
        </w:rPr>
        <w:t>temeljene na</w:t>
      </w:r>
      <w:r w:rsidRPr="00A2356C">
        <w:rPr>
          <w:rFonts w:ascii="Arial" w:hAnsi="Arial" w:cs="Arial"/>
          <w:sz w:val="20"/>
          <w:szCs w:val="20"/>
        </w:rPr>
        <w:t xml:space="preserve"> nov</w:t>
      </w:r>
      <w:r w:rsidR="00144A61">
        <w:rPr>
          <w:rFonts w:ascii="Arial" w:hAnsi="Arial" w:cs="Arial"/>
          <w:sz w:val="20"/>
          <w:szCs w:val="20"/>
        </w:rPr>
        <w:t>im</w:t>
      </w:r>
      <w:r w:rsidRPr="00A2356C">
        <w:rPr>
          <w:rFonts w:ascii="Arial" w:hAnsi="Arial" w:cs="Arial"/>
          <w:sz w:val="20"/>
          <w:szCs w:val="20"/>
        </w:rPr>
        <w:t xml:space="preserve"> tehnologij</w:t>
      </w:r>
      <w:r w:rsidR="00144A61">
        <w:rPr>
          <w:rFonts w:ascii="Arial" w:hAnsi="Arial" w:cs="Arial"/>
          <w:sz w:val="20"/>
          <w:szCs w:val="20"/>
        </w:rPr>
        <w:t>a</w:t>
      </w:r>
      <w:r w:rsidRPr="00A2356C">
        <w:rPr>
          <w:rFonts w:ascii="Arial" w:hAnsi="Arial" w:cs="Arial"/>
          <w:sz w:val="20"/>
          <w:szCs w:val="20"/>
        </w:rPr>
        <w:t xml:space="preserve"> u službama za tretman ovisnosti i smanjenje šteta, uz povećanu uporabu internetskih platformi za kliničko i </w:t>
      </w:r>
      <w:r w:rsidR="00144A61">
        <w:rPr>
          <w:rFonts w:ascii="Arial" w:hAnsi="Arial" w:cs="Arial"/>
          <w:sz w:val="20"/>
          <w:szCs w:val="20"/>
        </w:rPr>
        <w:t>socijalno</w:t>
      </w:r>
      <w:r w:rsidRPr="00A2356C">
        <w:rPr>
          <w:rFonts w:ascii="Arial" w:hAnsi="Arial" w:cs="Arial"/>
          <w:sz w:val="20"/>
          <w:szCs w:val="20"/>
        </w:rPr>
        <w:t xml:space="preserve"> upravljanje problemima </w:t>
      </w:r>
      <w:r w:rsidR="00144A61">
        <w:rPr>
          <w:rFonts w:ascii="Arial" w:hAnsi="Arial" w:cs="Arial"/>
          <w:sz w:val="20"/>
          <w:szCs w:val="20"/>
        </w:rPr>
        <w:t xml:space="preserve">povezanim </w:t>
      </w:r>
      <w:r w:rsidRPr="00A2356C">
        <w:rPr>
          <w:rFonts w:ascii="Arial" w:hAnsi="Arial" w:cs="Arial"/>
          <w:sz w:val="20"/>
          <w:szCs w:val="20"/>
        </w:rPr>
        <w:t xml:space="preserve">s drogom. Čini se da su mnoge službe zadržale neke od navedenih praksi, uključujući posjete samo uz najavu termina i veću uporabu telemedicine. </w:t>
      </w:r>
      <w:r w:rsidR="00144A61">
        <w:rPr>
          <w:rFonts w:ascii="Arial" w:hAnsi="Arial" w:cs="Arial"/>
          <w:sz w:val="20"/>
          <w:szCs w:val="20"/>
        </w:rPr>
        <w:t xml:space="preserve"> </w:t>
      </w:r>
      <w:proofErr w:type="spellStart"/>
      <w:r w:rsidR="00144A61">
        <w:rPr>
          <w:rFonts w:ascii="Arial" w:hAnsi="Arial" w:cs="Arial"/>
          <w:sz w:val="20"/>
          <w:szCs w:val="20"/>
        </w:rPr>
        <w:t>P</w:t>
      </w:r>
      <w:r w:rsidRPr="00A2356C">
        <w:rPr>
          <w:rFonts w:ascii="Arial" w:hAnsi="Arial" w:cs="Arial"/>
          <w:sz w:val="20"/>
          <w:szCs w:val="20"/>
        </w:rPr>
        <w:t>andemija</w:t>
      </w:r>
      <w:proofErr w:type="spellEnd"/>
      <w:r w:rsidRPr="00A2356C">
        <w:rPr>
          <w:rFonts w:ascii="Arial" w:hAnsi="Arial" w:cs="Arial"/>
          <w:sz w:val="20"/>
          <w:szCs w:val="20"/>
        </w:rPr>
        <w:t xml:space="preserve"> </w:t>
      </w:r>
      <w:r w:rsidR="00144A61">
        <w:rPr>
          <w:rFonts w:ascii="Arial" w:hAnsi="Arial" w:cs="Arial"/>
          <w:sz w:val="20"/>
          <w:szCs w:val="20"/>
        </w:rPr>
        <w:t>je</w:t>
      </w:r>
      <w:r w:rsidRPr="00A2356C">
        <w:rPr>
          <w:rFonts w:ascii="Arial" w:hAnsi="Arial" w:cs="Arial"/>
          <w:sz w:val="20"/>
          <w:szCs w:val="20"/>
        </w:rPr>
        <w:t xml:space="preserve"> znatno utjecala i na </w:t>
      </w:r>
      <w:r w:rsidR="00144A61">
        <w:rPr>
          <w:rFonts w:ascii="Arial" w:hAnsi="Arial" w:cs="Arial"/>
          <w:sz w:val="20"/>
          <w:szCs w:val="20"/>
        </w:rPr>
        <w:t xml:space="preserve">sustave za </w:t>
      </w:r>
      <w:r w:rsidRPr="00A2356C">
        <w:rPr>
          <w:rFonts w:ascii="Arial" w:hAnsi="Arial" w:cs="Arial"/>
          <w:sz w:val="20"/>
          <w:szCs w:val="20"/>
        </w:rPr>
        <w:t xml:space="preserve">prikupljanje podataka. </w:t>
      </w:r>
      <w:r w:rsidR="00BA0D94">
        <w:rPr>
          <w:rFonts w:ascii="Arial" w:hAnsi="Arial" w:cs="Arial"/>
          <w:sz w:val="20"/>
          <w:szCs w:val="20"/>
        </w:rPr>
        <w:t>Stoga je u</w:t>
      </w:r>
      <w:r w:rsidRPr="00A2356C">
        <w:rPr>
          <w:rFonts w:ascii="Arial" w:hAnsi="Arial" w:cs="Arial"/>
          <w:sz w:val="20"/>
          <w:szCs w:val="20"/>
        </w:rPr>
        <w:t xml:space="preserve">sporedbe </w:t>
      </w:r>
      <w:r w:rsidR="00BA0D94">
        <w:rPr>
          <w:rFonts w:ascii="Arial" w:hAnsi="Arial" w:cs="Arial"/>
          <w:sz w:val="20"/>
          <w:szCs w:val="20"/>
        </w:rPr>
        <w:t xml:space="preserve">aktualnih podataka </w:t>
      </w:r>
      <w:r w:rsidRPr="00A2356C">
        <w:rPr>
          <w:rFonts w:ascii="Arial" w:hAnsi="Arial" w:cs="Arial"/>
          <w:sz w:val="20"/>
          <w:szCs w:val="20"/>
        </w:rPr>
        <w:t xml:space="preserve">s prethodnim godinama potrebno provoditi s oprezom, budući da je promjene u trendovima moguće objasniti prekidima pružanja usluga i prikupljanja podataka, posebno tijekom početnih razdoblja ograničenja kretanja, a ne odražavanjem promjena u konzumaciji droga ili značajki korisnika kao posljedica </w:t>
      </w:r>
      <w:proofErr w:type="spellStart"/>
      <w:r w:rsidRPr="00A2356C">
        <w:rPr>
          <w:rFonts w:ascii="Arial" w:hAnsi="Arial" w:cs="Arial"/>
          <w:sz w:val="20"/>
          <w:szCs w:val="20"/>
        </w:rPr>
        <w:t>pandemije</w:t>
      </w:r>
      <w:proofErr w:type="spellEnd"/>
      <w:r w:rsidRPr="00A2356C">
        <w:rPr>
          <w:rFonts w:ascii="Arial" w:hAnsi="Arial" w:cs="Arial"/>
          <w:sz w:val="20"/>
          <w:szCs w:val="20"/>
        </w:rPr>
        <w:t xml:space="preserve">. Na području Europe se tijekom 2020. godine ukupni broj prijavljenih osoba koje su prvi put uključene u tretman smanjio za 14 % u odnosu na 2019. godinu. </w:t>
      </w:r>
    </w:p>
    <w:p w:rsidR="00BA0D94" w:rsidRDefault="00BA0D94" w:rsidP="00A2356C">
      <w:pPr>
        <w:jc w:val="both"/>
        <w:rPr>
          <w:rFonts w:ascii="Arial" w:hAnsi="Arial" w:cs="Arial"/>
          <w:sz w:val="20"/>
          <w:szCs w:val="20"/>
        </w:rPr>
      </w:pPr>
    </w:p>
    <w:p w:rsidR="000C4EEB" w:rsidRDefault="00A2356C" w:rsidP="00A2356C">
      <w:pPr>
        <w:jc w:val="both"/>
        <w:rPr>
          <w:rFonts w:ascii="Arial" w:hAnsi="Arial" w:cs="Arial"/>
          <w:sz w:val="20"/>
          <w:szCs w:val="20"/>
        </w:rPr>
      </w:pPr>
      <w:r w:rsidRPr="00A2356C">
        <w:rPr>
          <w:rFonts w:ascii="Arial" w:hAnsi="Arial" w:cs="Arial"/>
          <w:sz w:val="20"/>
          <w:szCs w:val="20"/>
        </w:rPr>
        <w:t xml:space="preserve">Budući da se ograničenja povezana s </w:t>
      </w:r>
      <w:proofErr w:type="spellStart"/>
      <w:r w:rsidRPr="00A2356C">
        <w:rPr>
          <w:rFonts w:ascii="Arial" w:hAnsi="Arial" w:cs="Arial"/>
          <w:sz w:val="20"/>
          <w:szCs w:val="20"/>
        </w:rPr>
        <w:t>pandemijom</w:t>
      </w:r>
      <w:proofErr w:type="spellEnd"/>
      <w:r w:rsidRPr="00A2356C">
        <w:rPr>
          <w:rFonts w:ascii="Arial" w:hAnsi="Arial" w:cs="Arial"/>
          <w:sz w:val="20"/>
          <w:szCs w:val="20"/>
        </w:rPr>
        <w:t xml:space="preserve"> bolesti COVID-19 postupno ublažavaju u cijeloj Europi, te uslijed prilagodbe usluga tretmana ovisnosti i drugih usluga u postupanju s bolešću COVID-19 kao endemskom bolešću, pokazatelji općenito ukazuju na povratak na </w:t>
      </w:r>
      <w:proofErr w:type="spellStart"/>
      <w:r w:rsidRPr="00A2356C">
        <w:rPr>
          <w:rFonts w:ascii="Arial" w:hAnsi="Arial" w:cs="Arial"/>
          <w:sz w:val="20"/>
          <w:szCs w:val="20"/>
        </w:rPr>
        <w:t>predpandemijsku</w:t>
      </w:r>
      <w:proofErr w:type="spellEnd"/>
      <w:r w:rsidRPr="00A2356C">
        <w:rPr>
          <w:rFonts w:ascii="Arial" w:hAnsi="Arial" w:cs="Arial"/>
          <w:sz w:val="20"/>
          <w:szCs w:val="20"/>
        </w:rPr>
        <w:t xml:space="preserve"> situaciju u području droga. Preliminarni nacionalni podaci o tretmanu, uz komplementarne pokazatelje koji su osjetljiviji na kratkoročne promjene, pokazuju porast u 2021. godini u odnosu na 2020. godinu. Navedeno odražava povratak službi na model uobičajenog poslovanja, ali uz mjere prevencije kao što su ograničavanje socijalnih kontakata i nošenje maski.</w:t>
      </w:r>
    </w:p>
    <w:p w:rsidR="0052518D" w:rsidRDefault="0052518D" w:rsidP="000C4EEB">
      <w:pPr>
        <w:jc w:val="both"/>
        <w:rPr>
          <w:rFonts w:ascii="Arial" w:hAnsi="Arial" w:cs="Arial"/>
          <w:sz w:val="20"/>
          <w:szCs w:val="20"/>
        </w:rPr>
      </w:pPr>
    </w:p>
    <w:p w:rsidR="000C4EEB" w:rsidRDefault="000C4EEB" w:rsidP="000C4EEB">
      <w:pPr>
        <w:jc w:val="both"/>
        <w:rPr>
          <w:rFonts w:ascii="Arial" w:hAnsi="Arial" w:cs="Arial"/>
          <w:sz w:val="20"/>
          <w:szCs w:val="20"/>
        </w:rPr>
      </w:pPr>
    </w:p>
    <w:p w:rsidR="000C4EEB" w:rsidRPr="000C4EEB" w:rsidRDefault="000C4EEB" w:rsidP="000C4EEB">
      <w:pPr>
        <w:jc w:val="both"/>
        <w:rPr>
          <w:rFonts w:ascii="Arial" w:hAnsi="Arial" w:cs="Arial"/>
          <w:sz w:val="20"/>
          <w:szCs w:val="20"/>
        </w:rPr>
        <w:sectPr w:rsidR="000C4EEB" w:rsidRPr="000C4EEB" w:rsidSect="009C7818">
          <w:footerReference w:type="default" r:id="rId8"/>
          <w:type w:val="continuous"/>
          <w:pgSz w:w="11906" w:h="16838"/>
          <w:pgMar w:top="1417" w:right="707" w:bottom="1417" w:left="993" w:header="708" w:footer="133" w:gutter="0"/>
          <w:cols w:space="708"/>
          <w:docGrid w:linePitch="360"/>
        </w:sectPr>
      </w:pPr>
    </w:p>
    <w:p w:rsidR="00256D30" w:rsidRPr="00B650E3" w:rsidRDefault="00E02D60" w:rsidP="00520166">
      <w:pPr>
        <w:pStyle w:val="Tekstfusnote"/>
        <w:jc w:val="both"/>
        <w:rPr>
          <w:rFonts w:ascii="Arial" w:hAnsi="Arial" w:cs="Arial"/>
          <w:b/>
          <w:color w:val="002060"/>
          <w:sz w:val="22"/>
          <w:szCs w:val="22"/>
          <w:lang w:eastAsia="en-GB"/>
        </w:rPr>
      </w:pPr>
      <w:r w:rsidRPr="00B650E3">
        <w:rPr>
          <w:rFonts w:ascii="Arial" w:hAnsi="Arial" w:cs="Arial"/>
          <w:b/>
          <w:color w:val="002060"/>
          <w:sz w:val="22"/>
          <w:szCs w:val="22"/>
          <w:lang w:eastAsia="en-GB"/>
        </w:rPr>
        <w:t>Tržište droga</w:t>
      </w:r>
    </w:p>
    <w:p w:rsidR="00C41AC9" w:rsidRDefault="00C41AC9" w:rsidP="00520166">
      <w:pPr>
        <w:pStyle w:val="Tekstfusnote"/>
        <w:jc w:val="both"/>
        <w:rPr>
          <w:b/>
          <w:color w:val="984806" w:themeColor="accent6" w:themeShade="80"/>
          <w:lang w:eastAsia="en-GB"/>
        </w:rPr>
        <w:sectPr w:rsidR="00C41AC9" w:rsidSect="009C7818">
          <w:type w:val="continuous"/>
          <w:pgSz w:w="11906" w:h="16838"/>
          <w:pgMar w:top="1417" w:right="707" w:bottom="1417" w:left="993" w:header="708" w:footer="133" w:gutter="0"/>
          <w:cols w:num="2" w:space="708"/>
          <w:docGrid w:linePitch="360"/>
        </w:sectPr>
      </w:pPr>
    </w:p>
    <w:p w:rsidR="00520166" w:rsidRPr="00EC4800" w:rsidRDefault="00520166" w:rsidP="00520166">
      <w:pPr>
        <w:pStyle w:val="Tekstfusnote"/>
        <w:jc w:val="both"/>
        <w:rPr>
          <w:b/>
          <w:color w:val="984806" w:themeColor="accent6" w:themeShade="80"/>
          <w:lang w:eastAsia="en-GB"/>
        </w:rPr>
      </w:pPr>
    </w:p>
    <w:p w:rsidR="00D664BB" w:rsidRDefault="00027ADD" w:rsidP="00C41AC9">
      <w:pPr>
        <w:pStyle w:val="Tekstfusnote"/>
        <w:jc w:val="both"/>
        <w:rPr>
          <w:rFonts w:ascii="Arial" w:hAnsi="Arial" w:cs="Arial"/>
          <w:lang w:eastAsia="en-GB"/>
        </w:rPr>
      </w:pPr>
      <w:r w:rsidRPr="00027ADD">
        <w:rPr>
          <w:rFonts w:ascii="Arial" w:hAnsi="Arial" w:cs="Arial"/>
          <w:lang w:eastAsia="en-GB"/>
        </w:rPr>
        <w:t xml:space="preserve">Južna Amerika, Zapadna Azija i Sjeverna Afrika i dalje predstavljaju važna izvorišta nezakonitih droga koje ulaze u Europu, a Kina i Indija važne su izvorišne zemlje za nove </w:t>
      </w:r>
      <w:proofErr w:type="spellStart"/>
      <w:r w:rsidRPr="00027ADD">
        <w:rPr>
          <w:rFonts w:ascii="Arial" w:hAnsi="Arial" w:cs="Arial"/>
          <w:lang w:eastAsia="en-GB"/>
        </w:rPr>
        <w:t>psihoaktivne</w:t>
      </w:r>
      <w:proofErr w:type="spellEnd"/>
      <w:r w:rsidRPr="00027ADD">
        <w:rPr>
          <w:rFonts w:ascii="Arial" w:hAnsi="Arial" w:cs="Arial"/>
          <w:lang w:eastAsia="en-GB"/>
        </w:rPr>
        <w:t xml:space="preserve"> tvari. Također, često se navodi da se </w:t>
      </w:r>
      <w:proofErr w:type="spellStart"/>
      <w:r w:rsidRPr="00027ADD">
        <w:rPr>
          <w:rFonts w:ascii="Arial" w:hAnsi="Arial" w:cs="Arial"/>
          <w:lang w:eastAsia="en-GB"/>
        </w:rPr>
        <w:t>prekursori</w:t>
      </w:r>
      <w:proofErr w:type="spellEnd"/>
      <w:r w:rsidRPr="00027ADD">
        <w:rPr>
          <w:rFonts w:ascii="Arial" w:hAnsi="Arial" w:cs="Arial"/>
          <w:lang w:eastAsia="en-GB"/>
        </w:rPr>
        <w:t xml:space="preserve"> i povezane kemikalije nabavljaju iz Kine. Nedavne promjene na nezakonitom tržištu droga u Europi uključuju inovacije u proizvodnji droga i krijumčarskim metodama, stvaranje novih krijumčarskih ruta i partnerstva između europskih i neeuropski</w:t>
      </w:r>
      <w:r w:rsidR="00C30382">
        <w:rPr>
          <w:rFonts w:ascii="Arial" w:hAnsi="Arial" w:cs="Arial"/>
          <w:lang w:eastAsia="en-GB"/>
        </w:rPr>
        <w:t>h mreža organiziranog kriminala</w:t>
      </w:r>
      <w:r w:rsidR="00C41AC9" w:rsidRPr="00EC4800">
        <w:rPr>
          <w:rFonts w:ascii="Arial" w:hAnsi="Arial" w:cs="Arial"/>
          <w:lang w:eastAsia="en-GB"/>
        </w:rPr>
        <w:t>.</w:t>
      </w:r>
      <w:r w:rsidR="00C41AC9">
        <w:rPr>
          <w:rFonts w:ascii="Arial" w:hAnsi="Arial" w:cs="Arial"/>
          <w:lang w:eastAsia="en-GB"/>
        </w:rPr>
        <w:t xml:space="preserve"> </w:t>
      </w:r>
    </w:p>
    <w:p w:rsidR="00D664BB" w:rsidRDefault="00D664BB" w:rsidP="00C41AC9">
      <w:pPr>
        <w:pStyle w:val="Tekstfusnote"/>
        <w:jc w:val="both"/>
        <w:rPr>
          <w:rFonts w:ascii="Arial" w:hAnsi="Arial" w:cs="Arial"/>
          <w:lang w:eastAsia="en-GB"/>
        </w:rPr>
      </w:pPr>
    </w:p>
    <w:p w:rsidR="00027ADD" w:rsidRDefault="00027ADD" w:rsidP="00C41AC9">
      <w:pPr>
        <w:pStyle w:val="Tekstfusnote"/>
        <w:jc w:val="both"/>
        <w:rPr>
          <w:rFonts w:ascii="Arial" w:hAnsi="Arial" w:cs="Arial"/>
          <w:lang w:eastAsia="en-GB"/>
        </w:rPr>
      </w:pPr>
      <w:r w:rsidRPr="00027ADD">
        <w:rPr>
          <w:rFonts w:ascii="Arial" w:hAnsi="Arial" w:cs="Arial"/>
          <w:lang w:eastAsia="en-GB"/>
        </w:rPr>
        <w:t>U Europskoj je uniji 2020. godine zabilježeno oko 1 milijun zapljena, a najčešće su bili zaplijenjeni proizvodi kanabisa.</w:t>
      </w:r>
      <w:r w:rsidRPr="00027ADD">
        <w:rPr>
          <w:rFonts w:ascii="Trivia Sans Book" w:eastAsiaTheme="minorHAnsi" w:hAnsi="Trivia Sans Book" w:cs="Trivia Sans Book"/>
          <w:color w:val="000000"/>
          <w:sz w:val="18"/>
          <w:szCs w:val="18"/>
          <w:lang w:eastAsia="en-US"/>
        </w:rPr>
        <w:t xml:space="preserve"> </w:t>
      </w:r>
      <w:r w:rsidRPr="00027ADD">
        <w:rPr>
          <w:rFonts w:ascii="Arial" w:hAnsi="Arial" w:cs="Arial"/>
          <w:lang w:eastAsia="en-GB"/>
        </w:rPr>
        <w:t>Broj zapljena smole kanabisa (− 72 %), kokaina (− 7 %), amfetamina (− 7 %) i heroina (− 52 %) bio je manji 2020. nego 2010. godine.</w:t>
      </w:r>
      <w:r>
        <w:rPr>
          <w:rFonts w:ascii="Arial" w:hAnsi="Arial" w:cs="Arial"/>
          <w:lang w:eastAsia="en-GB"/>
        </w:rPr>
        <w:t xml:space="preserve"> </w:t>
      </w:r>
      <w:r w:rsidRPr="00027ADD">
        <w:rPr>
          <w:rFonts w:ascii="Arial" w:hAnsi="Arial" w:cs="Arial"/>
          <w:lang w:eastAsia="en-GB"/>
        </w:rPr>
        <w:t xml:space="preserve">Najveći porast, izražen u postocima, a zabilježen u broju zapljena između 2010. i 2020. godine otpada na zapljene MDMA-a (+ 129 %) i </w:t>
      </w:r>
      <w:proofErr w:type="spellStart"/>
      <w:r w:rsidRPr="00027ADD">
        <w:rPr>
          <w:rFonts w:ascii="Arial" w:hAnsi="Arial" w:cs="Arial"/>
          <w:lang w:eastAsia="en-GB"/>
        </w:rPr>
        <w:t>metamfetamina</w:t>
      </w:r>
      <w:proofErr w:type="spellEnd"/>
      <w:r w:rsidRPr="00027ADD">
        <w:rPr>
          <w:rFonts w:ascii="Arial" w:hAnsi="Arial" w:cs="Arial"/>
          <w:lang w:eastAsia="en-GB"/>
        </w:rPr>
        <w:t xml:space="preserve"> (+ 107 %), dok se broj zapljena biljnog kanabisa umjereno povećao (+ 19 %).</w:t>
      </w:r>
      <w:r w:rsidR="00F626CD">
        <w:rPr>
          <w:rFonts w:ascii="Arial" w:hAnsi="Arial" w:cs="Arial"/>
          <w:lang w:eastAsia="en-GB"/>
        </w:rPr>
        <w:t xml:space="preserve"> </w:t>
      </w:r>
      <w:r w:rsidRPr="00027ADD">
        <w:rPr>
          <w:rFonts w:ascii="Arial" w:hAnsi="Arial" w:cs="Arial"/>
          <w:lang w:eastAsia="en-GB"/>
        </w:rPr>
        <w:t>Pokazatelji trendova pokazuju da su se, osim smole kanabisa i heroina, količine zaplijenjenih droga u Europskoj uniji povećale u razdoblju od 2010. do 2020. godine, a posebno u posljednjih pet godina.</w:t>
      </w:r>
    </w:p>
    <w:p w:rsidR="00027ADD" w:rsidRDefault="00027ADD" w:rsidP="00C41AC9">
      <w:pPr>
        <w:pStyle w:val="Tekstfusnote"/>
        <w:jc w:val="both"/>
        <w:rPr>
          <w:rFonts w:ascii="Arial" w:hAnsi="Arial" w:cs="Arial"/>
          <w:lang w:eastAsia="en-GB"/>
        </w:rPr>
      </w:pPr>
    </w:p>
    <w:p w:rsidR="00D664BB" w:rsidRDefault="00F626CD" w:rsidP="00F626CD">
      <w:pPr>
        <w:pStyle w:val="Tekstfusnote"/>
        <w:jc w:val="both"/>
        <w:rPr>
          <w:rFonts w:ascii="Arial" w:hAnsi="Arial" w:cs="Arial"/>
        </w:rPr>
      </w:pPr>
      <w:r>
        <w:rPr>
          <w:rFonts w:ascii="Arial" w:hAnsi="Arial" w:cs="Arial"/>
        </w:rPr>
        <w:t>Tržište kanabisa postaje sve složenije. Čini se da kanabis proizveden u EU postaje sve dominantniji na tržištu, na što ukazuju i povećane zapljene značajnih količina biljnog kanabisa porijeklom iz Španjolske.</w:t>
      </w:r>
      <w:r w:rsidRPr="00F626CD">
        <w:t xml:space="preserve"> </w:t>
      </w:r>
      <w:r>
        <w:rPr>
          <w:rFonts w:ascii="Arial" w:hAnsi="Arial" w:cs="Arial"/>
        </w:rPr>
        <w:t>U</w:t>
      </w:r>
      <w:r w:rsidRPr="00F626CD">
        <w:rPr>
          <w:rFonts w:ascii="Arial" w:hAnsi="Arial" w:cs="Arial"/>
        </w:rPr>
        <w:t xml:space="preserve">očena </w:t>
      </w:r>
      <w:r>
        <w:rPr>
          <w:rFonts w:ascii="Arial" w:hAnsi="Arial" w:cs="Arial"/>
        </w:rPr>
        <w:t xml:space="preserve">je </w:t>
      </w:r>
      <w:r w:rsidRPr="00F626CD">
        <w:rPr>
          <w:rFonts w:ascii="Arial" w:hAnsi="Arial" w:cs="Arial"/>
        </w:rPr>
        <w:t>sve veća raznolikost asortimana proizvoda od kanabisa</w:t>
      </w:r>
      <w:r>
        <w:rPr>
          <w:rFonts w:ascii="Arial" w:hAnsi="Arial" w:cs="Arial"/>
        </w:rPr>
        <w:t xml:space="preserve"> </w:t>
      </w:r>
      <w:r w:rsidRPr="00F626CD">
        <w:rPr>
          <w:rFonts w:ascii="Arial" w:hAnsi="Arial" w:cs="Arial"/>
        </w:rPr>
        <w:t xml:space="preserve">dostupnih u Europi, s ekstraktima i jestivim proizvodima </w:t>
      </w:r>
      <w:r>
        <w:rPr>
          <w:rFonts w:ascii="Arial" w:hAnsi="Arial" w:cs="Arial"/>
        </w:rPr>
        <w:t xml:space="preserve">koji sadrže </w:t>
      </w:r>
      <w:r w:rsidRPr="00F626CD">
        <w:rPr>
          <w:rFonts w:ascii="Arial" w:hAnsi="Arial" w:cs="Arial"/>
        </w:rPr>
        <w:t>visok ud</w:t>
      </w:r>
      <w:r>
        <w:rPr>
          <w:rFonts w:ascii="Arial" w:hAnsi="Arial" w:cs="Arial"/>
        </w:rPr>
        <w:t>io</w:t>
      </w:r>
      <w:r w:rsidRPr="00F626CD">
        <w:rPr>
          <w:rFonts w:ascii="Arial" w:hAnsi="Arial" w:cs="Arial"/>
        </w:rPr>
        <w:t xml:space="preserve"> THC-a</w:t>
      </w:r>
      <w:r>
        <w:rPr>
          <w:rFonts w:ascii="Arial" w:hAnsi="Arial" w:cs="Arial"/>
        </w:rPr>
        <w:t xml:space="preserve"> </w:t>
      </w:r>
      <w:r w:rsidRPr="00F626CD">
        <w:rPr>
          <w:rFonts w:ascii="Arial" w:hAnsi="Arial" w:cs="Arial"/>
        </w:rPr>
        <w:t>i proizvodima od CBD-a s niskim udjelom THC-a koji se komercijalno stavljaju na tržište.</w:t>
      </w:r>
      <w:r>
        <w:rPr>
          <w:rFonts w:ascii="Arial" w:hAnsi="Arial" w:cs="Arial"/>
        </w:rPr>
        <w:t xml:space="preserve"> </w:t>
      </w:r>
      <w:r w:rsidRPr="00F626CD">
        <w:rPr>
          <w:rFonts w:ascii="Arial" w:hAnsi="Arial" w:cs="Arial"/>
        </w:rPr>
        <w:t>Prosječni udio THC-a u smoli kanabisa 2020. godine iznosio je 21 %, gotovo dvostruko više</w:t>
      </w:r>
      <w:r w:rsidR="00FA14D7" w:rsidRPr="00FA14D7">
        <w:rPr>
          <w:rFonts w:ascii="Arial" w:hAnsi="Arial" w:cs="Arial"/>
        </w:rPr>
        <w:t xml:space="preserve"> </w:t>
      </w:r>
      <w:r w:rsidR="00FA14D7" w:rsidRPr="00F626CD">
        <w:rPr>
          <w:rFonts w:ascii="Arial" w:hAnsi="Arial" w:cs="Arial"/>
        </w:rPr>
        <w:t>nego u biljnom kanabisu</w:t>
      </w:r>
      <w:r w:rsidRPr="00F626CD">
        <w:rPr>
          <w:rFonts w:ascii="Arial" w:hAnsi="Arial" w:cs="Arial"/>
        </w:rPr>
        <w:t xml:space="preserve">, </w:t>
      </w:r>
      <w:r w:rsidR="00FA14D7">
        <w:rPr>
          <w:rFonts w:ascii="Arial" w:hAnsi="Arial" w:cs="Arial"/>
        </w:rPr>
        <w:t xml:space="preserve">gdje se obično </w:t>
      </w:r>
      <w:r w:rsidRPr="00F626CD">
        <w:rPr>
          <w:rFonts w:ascii="Arial" w:hAnsi="Arial" w:cs="Arial"/>
        </w:rPr>
        <w:t>11 %. Zabrinjava činjenica da je tijekom 2021. godine više država zabilježilo proizvode</w:t>
      </w:r>
      <w:r>
        <w:rPr>
          <w:rFonts w:ascii="Arial" w:hAnsi="Arial" w:cs="Arial"/>
        </w:rPr>
        <w:t xml:space="preserve"> </w:t>
      </w:r>
      <w:r w:rsidRPr="00F626CD">
        <w:rPr>
          <w:rFonts w:ascii="Arial" w:hAnsi="Arial" w:cs="Arial"/>
        </w:rPr>
        <w:t xml:space="preserve">od kanabisa s primjesama opasnih sintetskih </w:t>
      </w:r>
      <w:proofErr w:type="spellStart"/>
      <w:r w:rsidRPr="00F626CD">
        <w:rPr>
          <w:rFonts w:ascii="Arial" w:hAnsi="Arial" w:cs="Arial"/>
        </w:rPr>
        <w:t>kanabinoida</w:t>
      </w:r>
      <w:proofErr w:type="spellEnd"/>
      <w:r w:rsidRPr="00F626CD">
        <w:rPr>
          <w:rFonts w:ascii="Arial" w:hAnsi="Arial" w:cs="Arial"/>
        </w:rPr>
        <w:t>, koji predstavljaju rizik za</w:t>
      </w:r>
      <w:r>
        <w:rPr>
          <w:rFonts w:ascii="Arial" w:hAnsi="Arial" w:cs="Arial"/>
        </w:rPr>
        <w:t xml:space="preserve"> </w:t>
      </w:r>
      <w:r w:rsidRPr="00F626CD">
        <w:rPr>
          <w:rFonts w:ascii="Arial" w:hAnsi="Arial" w:cs="Arial"/>
        </w:rPr>
        <w:t>zdravlje ko</w:t>
      </w:r>
      <w:r>
        <w:rPr>
          <w:rFonts w:ascii="Arial" w:hAnsi="Arial" w:cs="Arial"/>
        </w:rPr>
        <w:t>nzumenata</w:t>
      </w:r>
      <w:r w:rsidRPr="00F626CD">
        <w:rPr>
          <w:rFonts w:ascii="Arial" w:hAnsi="Arial" w:cs="Arial"/>
        </w:rPr>
        <w:t>.</w:t>
      </w:r>
    </w:p>
    <w:p w:rsidR="00F626CD" w:rsidRDefault="00F626CD" w:rsidP="00C41AC9">
      <w:pPr>
        <w:pStyle w:val="Tekstfusnote"/>
        <w:jc w:val="both"/>
        <w:rPr>
          <w:rFonts w:ascii="Arial" w:hAnsi="Arial" w:cs="Arial"/>
        </w:rPr>
      </w:pPr>
    </w:p>
    <w:p w:rsidR="00D664BB" w:rsidRDefault="00554095" w:rsidP="00554095">
      <w:pPr>
        <w:jc w:val="both"/>
        <w:rPr>
          <w:rFonts w:ascii="Arial" w:hAnsi="Arial" w:cs="Arial"/>
          <w:sz w:val="20"/>
          <w:szCs w:val="20"/>
        </w:rPr>
      </w:pPr>
      <w:r w:rsidRPr="00554095">
        <w:rPr>
          <w:rFonts w:ascii="Arial" w:hAnsi="Arial" w:cs="Arial"/>
          <w:sz w:val="20"/>
          <w:szCs w:val="20"/>
        </w:rPr>
        <w:t>Tijekom 2020. godine zaplijenjena je rekordna količina od 213 tona kokaina. Porast broja zatvorenih laboratorija za proizvodnju kokaina 2020. godine, zapljene sirovina uvezenih iz Južne Amerike i povezanih kemikalija zajedno ukazuju na veliku preradu kokaina u Europi</w:t>
      </w:r>
      <w:r>
        <w:rPr>
          <w:rFonts w:ascii="Arial" w:hAnsi="Arial" w:cs="Arial"/>
          <w:sz w:val="20"/>
          <w:szCs w:val="20"/>
        </w:rPr>
        <w:t>.</w:t>
      </w:r>
      <w:r w:rsidRPr="00554095">
        <w:t xml:space="preserve"> </w:t>
      </w:r>
      <w:r>
        <w:rPr>
          <w:rFonts w:ascii="Arial" w:hAnsi="Arial" w:cs="Arial"/>
          <w:sz w:val="20"/>
          <w:szCs w:val="20"/>
        </w:rPr>
        <w:t>G</w:t>
      </w:r>
      <w:r w:rsidRPr="00554095">
        <w:rPr>
          <w:rFonts w:ascii="Arial" w:hAnsi="Arial" w:cs="Arial"/>
          <w:sz w:val="20"/>
          <w:szCs w:val="20"/>
        </w:rPr>
        <w:t xml:space="preserve">otovo 2,2 milijuna </w:t>
      </w:r>
      <w:r>
        <w:rPr>
          <w:rFonts w:ascii="Arial" w:hAnsi="Arial" w:cs="Arial"/>
          <w:sz w:val="20"/>
          <w:szCs w:val="20"/>
        </w:rPr>
        <w:t xml:space="preserve">građana EU </w:t>
      </w:r>
      <w:r w:rsidRPr="00554095">
        <w:rPr>
          <w:rFonts w:ascii="Arial" w:hAnsi="Arial" w:cs="Arial"/>
          <w:sz w:val="20"/>
          <w:szCs w:val="20"/>
        </w:rPr>
        <w:t xml:space="preserve">u dobi od 15 do 34 godine (2,2 % te dobne skupine) </w:t>
      </w:r>
      <w:r>
        <w:rPr>
          <w:rFonts w:ascii="Arial" w:hAnsi="Arial" w:cs="Arial"/>
          <w:sz w:val="20"/>
          <w:szCs w:val="20"/>
        </w:rPr>
        <w:t xml:space="preserve">je </w:t>
      </w:r>
      <w:r w:rsidRPr="00554095">
        <w:rPr>
          <w:rFonts w:ascii="Arial" w:hAnsi="Arial" w:cs="Arial"/>
          <w:sz w:val="20"/>
          <w:szCs w:val="20"/>
        </w:rPr>
        <w:t xml:space="preserve">konzumiralo kokain </w:t>
      </w:r>
      <w:r>
        <w:rPr>
          <w:rFonts w:ascii="Arial" w:hAnsi="Arial" w:cs="Arial"/>
          <w:sz w:val="20"/>
          <w:szCs w:val="20"/>
        </w:rPr>
        <w:t xml:space="preserve">u prethodnoj godini (u odnosu na provedena istraživanja). </w:t>
      </w:r>
      <w:r w:rsidRPr="00554095">
        <w:rPr>
          <w:rFonts w:ascii="Arial" w:hAnsi="Arial" w:cs="Arial"/>
          <w:sz w:val="20"/>
          <w:szCs w:val="20"/>
        </w:rPr>
        <w:t xml:space="preserve">Tijekom 2020. godine, kokain je bio drugo najčešće prijavljivano glavno sredstvo ovisnosti kod osoba koje su prvi put započele </w:t>
      </w:r>
      <w:r w:rsidRPr="00554095">
        <w:rPr>
          <w:rFonts w:ascii="Arial" w:hAnsi="Arial" w:cs="Arial"/>
          <w:sz w:val="20"/>
          <w:szCs w:val="20"/>
        </w:rPr>
        <w:lastRenderedPageBreak/>
        <w:t>tretman ovisnosti,</w:t>
      </w:r>
      <w:r w:rsidR="003B3D7E">
        <w:rPr>
          <w:rFonts w:ascii="Arial" w:hAnsi="Arial" w:cs="Arial"/>
          <w:sz w:val="20"/>
          <w:szCs w:val="20"/>
        </w:rPr>
        <w:t xml:space="preserve"> a sve se češće konzumira i </w:t>
      </w:r>
      <w:proofErr w:type="spellStart"/>
      <w:r w:rsidR="003B3D7E">
        <w:rPr>
          <w:rFonts w:ascii="Arial" w:hAnsi="Arial" w:cs="Arial"/>
          <w:sz w:val="20"/>
          <w:szCs w:val="20"/>
        </w:rPr>
        <w:t>crack</w:t>
      </w:r>
      <w:proofErr w:type="spellEnd"/>
      <w:r w:rsidR="003B3D7E">
        <w:rPr>
          <w:rFonts w:ascii="Arial" w:hAnsi="Arial" w:cs="Arial"/>
          <w:sz w:val="20"/>
          <w:szCs w:val="20"/>
        </w:rPr>
        <w:t xml:space="preserve"> kokain. Također je i </w:t>
      </w:r>
      <w:r w:rsidR="003B3D7E">
        <w:rPr>
          <w:rFonts w:ascii="Trivia Sans Book" w:eastAsiaTheme="minorHAnsi" w:hAnsi="Trivia Sans Book" w:cs="Trivia Sans Book"/>
          <w:color w:val="000000"/>
          <w:sz w:val="18"/>
          <w:szCs w:val="18"/>
          <w:lang w:eastAsia="en-US"/>
        </w:rPr>
        <w:t xml:space="preserve">druga </w:t>
      </w:r>
      <w:r w:rsidR="003B3D7E" w:rsidRPr="003B3D7E">
        <w:rPr>
          <w:rFonts w:ascii="Arial" w:hAnsi="Arial" w:cs="Arial"/>
          <w:sz w:val="20"/>
          <w:szCs w:val="20"/>
        </w:rPr>
        <w:t>najčešće prijavljivana tvar bolnica Euro-DEN Plus mreže</w:t>
      </w:r>
      <w:r w:rsidR="003B3D7E">
        <w:rPr>
          <w:rFonts w:ascii="Arial" w:hAnsi="Arial" w:cs="Arial"/>
          <w:sz w:val="20"/>
          <w:szCs w:val="20"/>
        </w:rPr>
        <w:t xml:space="preserve"> koja prati trovanja drogama</w:t>
      </w:r>
      <w:r w:rsidR="003B3D7E" w:rsidRPr="003B3D7E">
        <w:rPr>
          <w:rFonts w:ascii="Arial" w:hAnsi="Arial" w:cs="Arial"/>
          <w:sz w:val="20"/>
          <w:szCs w:val="20"/>
        </w:rPr>
        <w:t xml:space="preserve">, </w:t>
      </w:r>
      <w:r w:rsidR="003B3D7E">
        <w:rPr>
          <w:rFonts w:ascii="Arial" w:hAnsi="Arial" w:cs="Arial"/>
          <w:sz w:val="20"/>
          <w:szCs w:val="20"/>
        </w:rPr>
        <w:t>gdje je bio</w:t>
      </w:r>
      <w:r w:rsidR="003B3D7E" w:rsidRPr="003B3D7E">
        <w:rPr>
          <w:rFonts w:ascii="Arial" w:hAnsi="Arial" w:cs="Arial"/>
          <w:sz w:val="20"/>
          <w:szCs w:val="20"/>
        </w:rPr>
        <w:t xml:space="preserve"> prisutan u 21 % slučajeva akutnih intoksikacija</w:t>
      </w:r>
      <w:r w:rsidR="003B3D7E">
        <w:rPr>
          <w:rFonts w:ascii="Arial" w:hAnsi="Arial" w:cs="Arial"/>
          <w:sz w:val="20"/>
          <w:szCs w:val="20"/>
        </w:rPr>
        <w:t>.</w:t>
      </w:r>
    </w:p>
    <w:p w:rsidR="00554095" w:rsidRPr="00CA6CAC" w:rsidRDefault="00554095" w:rsidP="00554095">
      <w:pPr>
        <w:jc w:val="both"/>
        <w:rPr>
          <w:rFonts w:ascii="Arial" w:hAnsi="Arial" w:cs="Arial"/>
          <w:sz w:val="20"/>
          <w:szCs w:val="20"/>
        </w:rPr>
      </w:pPr>
    </w:p>
    <w:p w:rsidR="00D664BB" w:rsidRDefault="00284CD6" w:rsidP="009A4684">
      <w:pPr>
        <w:tabs>
          <w:tab w:val="left" w:pos="3670"/>
        </w:tabs>
        <w:jc w:val="both"/>
        <w:rPr>
          <w:rFonts w:ascii="Arial" w:hAnsi="Arial" w:cs="Arial"/>
          <w:sz w:val="20"/>
          <w:szCs w:val="20"/>
        </w:rPr>
      </w:pPr>
      <w:r>
        <w:rPr>
          <w:rFonts w:ascii="Arial" w:hAnsi="Arial" w:cs="Arial"/>
          <w:sz w:val="20"/>
          <w:szCs w:val="20"/>
        </w:rPr>
        <w:t>R</w:t>
      </w:r>
      <w:r w:rsidRPr="00284CD6">
        <w:rPr>
          <w:rFonts w:ascii="Arial" w:hAnsi="Arial" w:cs="Arial"/>
          <w:sz w:val="20"/>
          <w:szCs w:val="20"/>
        </w:rPr>
        <w:t xml:space="preserve">elativno visoka čistoća zapljena i stabilne cijene, zajedno s drugim informacijama, ukazuju na to da je ukupna proizvodnja amfetamina i </w:t>
      </w:r>
      <w:proofErr w:type="spellStart"/>
      <w:r w:rsidRPr="00284CD6">
        <w:rPr>
          <w:rFonts w:ascii="Arial" w:hAnsi="Arial" w:cs="Arial"/>
          <w:sz w:val="20"/>
          <w:szCs w:val="20"/>
        </w:rPr>
        <w:t>metamfetamina</w:t>
      </w:r>
      <w:proofErr w:type="spellEnd"/>
      <w:r w:rsidRPr="00284CD6">
        <w:rPr>
          <w:rFonts w:ascii="Arial" w:hAnsi="Arial" w:cs="Arial"/>
          <w:sz w:val="20"/>
          <w:szCs w:val="20"/>
        </w:rPr>
        <w:t xml:space="preserve"> u Europskoj uniji i dalje stabilna s tendencijom povećanja posljednjih godina. </w:t>
      </w:r>
      <w:r w:rsidR="00C30382" w:rsidRPr="009A4684">
        <w:rPr>
          <w:rFonts w:ascii="Arial" w:hAnsi="Arial" w:cs="Arial"/>
          <w:sz w:val="20"/>
          <w:szCs w:val="20"/>
        </w:rPr>
        <w:t xml:space="preserve">Prisutna je sve veća zabrinutost glede porasta proizvodnje u Europskoj uniji namijenjene za izvoz na vanjska tržišta. Primjerice, Nizozemska je 2020. godine uništila veće laboratorije </w:t>
      </w:r>
      <w:proofErr w:type="spellStart"/>
      <w:r w:rsidR="00C30382" w:rsidRPr="009A4684">
        <w:rPr>
          <w:rFonts w:ascii="Arial" w:hAnsi="Arial" w:cs="Arial"/>
          <w:sz w:val="20"/>
          <w:szCs w:val="20"/>
        </w:rPr>
        <w:t>metamfetamina</w:t>
      </w:r>
      <w:proofErr w:type="spellEnd"/>
      <w:r w:rsidR="00C30382" w:rsidRPr="009A4684">
        <w:rPr>
          <w:rFonts w:ascii="Arial" w:hAnsi="Arial" w:cs="Arial"/>
          <w:sz w:val="20"/>
          <w:szCs w:val="20"/>
        </w:rPr>
        <w:t xml:space="preserve"> za izvoz izvan Europe.</w:t>
      </w:r>
      <w:r w:rsidR="00C30382">
        <w:rPr>
          <w:rFonts w:ascii="Arial" w:hAnsi="Arial" w:cs="Arial"/>
          <w:sz w:val="20"/>
          <w:szCs w:val="20"/>
        </w:rPr>
        <w:t xml:space="preserve"> </w:t>
      </w:r>
      <w:r w:rsidR="009A4684">
        <w:rPr>
          <w:rFonts w:ascii="Arial" w:hAnsi="Arial" w:cs="Arial"/>
          <w:sz w:val="20"/>
          <w:szCs w:val="20"/>
        </w:rPr>
        <w:t>P</w:t>
      </w:r>
      <w:r w:rsidRPr="00284CD6">
        <w:rPr>
          <w:rFonts w:ascii="Arial" w:hAnsi="Arial" w:cs="Arial"/>
          <w:sz w:val="20"/>
          <w:szCs w:val="20"/>
        </w:rPr>
        <w:t xml:space="preserve">ostoje znakovi o porastu dostupnosti i konzumacije </w:t>
      </w:r>
      <w:proofErr w:type="spellStart"/>
      <w:r w:rsidRPr="00284CD6">
        <w:rPr>
          <w:rFonts w:ascii="Arial" w:hAnsi="Arial" w:cs="Arial"/>
          <w:sz w:val="20"/>
          <w:szCs w:val="20"/>
        </w:rPr>
        <w:t>metamfetamina</w:t>
      </w:r>
      <w:proofErr w:type="spellEnd"/>
      <w:r w:rsidRPr="00284CD6">
        <w:rPr>
          <w:rFonts w:ascii="Arial" w:hAnsi="Arial" w:cs="Arial"/>
          <w:sz w:val="20"/>
          <w:szCs w:val="20"/>
        </w:rPr>
        <w:t>, iako je riječ o konzumaciji na niskoj razini.</w:t>
      </w:r>
      <w:r w:rsidR="009A4684" w:rsidRPr="009A4684">
        <w:rPr>
          <w:rFonts w:ascii="Trivia Sans Book" w:eastAsiaTheme="minorHAnsi" w:hAnsi="Trivia Sans Book" w:cs="Trivia Sans Book"/>
          <w:color w:val="57585B"/>
          <w:sz w:val="22"/>
          <w:szCs w:val="22"/>
          <w:lang w:eastAsia="en-US"/>
        </w:rPr>
        <w:t xml:space="preserve"> </w:t>
      </w:r>
      <w:r w:rsidR="009A4684" w:rsidRPr="009A4684">
        <w:rPr>
          <w:rFonts w:ascii="Arial" w:hAnsi="Arial" w:cs="Arial"/>
          <w:sz w:val="20"/>
          <w:szCs w:val="20"/>
        </w:rPr>
        <w:t xml:space="preserve">Povećanje broja laboratorija za proizvodnju amfetamina uništenih tijekom 2020. godine i rekordnih zapljena od 21,2 tone, zajedno s drugim podacima, također podupiru zaključak da je dostupnost amfetamina i dalje visoka s tendencijom rasta. </w:t>
      </w:r>
      <w:r w:rsidR="00C30382" w:rsidRPr="00C30382">
        <w:rPr>
          <w:rFonts w:ascii="Arial" w:hAnsi="Arial" w:cs="Arial"/>
          <w:sz w:val="20"/>
          <w:szCs w:val="20"/>
        </w:rPr>
        <w:t xml:space="preserve">Istraživanja, u kojima se amfetamin i </w:t>
      </w:r>
      <w:proofErr w:type="spellStart"/>
      <w:r w:rsidR="00C30382" w:rsidRPr="00C30382">
        <w:rPr>
          <w:rFonts w:ascii="Arial" w:hAnsi="Arial" w:cs="Arial"/>
          <w:sz w:val="20"/>
          <w:szCs w:val="20"/>
        </w:rPr>
        <w:t>metamfetamin</w:t>
      </w:r>
      <w:proofErr w:type="spellEnd"/>
      <w:r w:rsidR="00C30382" w:rsidRPr="00C30382">
        <w:rPr>
          <w:rFonts w:ascii="Arial" w:hAnsi="Arial" w:cs="Arial"/>
          <w:sz w:val="20"/>
          <w:szCs w:val="20"/>
        </w:rPr>
        <w:t xml:space="preserve"> grupiraju zajedno, koja je između 2016. i 2021. godine provelo 25 država EU-a, ukazuju na to da je 1,4 milijuna mlađih odraslih osoba (15 – 34) konzumiralo amfetamine tijekom prošle godine (1,4 % ove dobne skupine).</w:t>
      </w:r>
      <w:r w:rsidR="00C30382" w:rsidRPr="00C30382">
        <w:rPr>
          <w:rFonts w:ascii="Trivia Sans Book" w:eastAsiaTheme="minorHAnsi" w:hAnsi="Trivia Sans Book" w:cs="Trivia Sans Book"/>
          <w:color w:val="000000"/>
          <w:sz w:val="18"/>
          <w:szCs w:val="18"/>
          <w:lang w:eastAsia="en-US"/>
        </w:rPr>
        <w:t xml:space="preserve"> </w:t>
      </w:r>
      <w:r w:rsidR="00C30382" w:rsidRPr="00C30382">
        <w:rPr>
          <w:rFonts w:ascii="Arial" w:hAnsi="Arial" w:cs="Arial"/>
          <w:sz w:val="20"/>
          <w:szCs w:val="20"/>
        </w:rPr>
        <w:t xml:space="preserve">Procjene visokorizične uporabe </w:t>
      </w:r>
      <w:proofErr w:type="spellStart"/>
      <w:r w:rsidR="00C30382" w:rsidRPr="00C30382">
        <w:rPr>
          <w:rFonts w:ascii="Arial" w:hAnsi="Arial" w:cs="Arial"/>
          <w:sz w:val="20"/>
          <w:szCs w:val="20"/>
        </w:rPr>
        <w:t>metamfetamina</w:t>
      </w:r>
      <w:proofErr w:type="spellEnd"/>
      <w:r w:rsidR="00C30382" w:rsidRPr="00C30382">
        <w:rPr>
          <w:rFonts w:ascii="Arial" w:hAnsi="Arial" w:cs="Arial"/>
          <w:sz w:val="20"/>
          <w:szCs w:val="20"/>
        </w:rPr>
        <w:t xml:space="preserve"> kreću se u rasponu od 0,60 na 1000 stanovnika na Cipru, 2,8 na 1000 u Slovačkoj do 4,84 na 1000 u Češkoj.</w:t>
      </w:r>
    </w:p>
    <w:p w:rsidR="00D664BB" w:rsidRDefault="00D664BB" w:rsidP="00D664BB">
      <w:pPr>
        <w:tabs>
          <w:tab w:val="left" w:pos="3670"/>
        </w:tabs>
        <w:jc w:val="both"/>
        <w:rPr>
          <w:rFonts w:ascii="Arial" w:hAnsi="Arial" w:cs="Arial"/>
          <w:sz w:val="20"/>
          <w:szCs w:val="20"/>
        </w:rPr>
      </w:pPr>
    </w:p>
    <w:p w:rsidR="00E02D60" w:rsidRDefault="00C30382" w:rsidP="00C30382">
      <w:pPr>
        <w:tabs>
          <w:tab w:val="left" w:pos="3670"/>
        </w:tabs>
        <w:jc w:val="both"/>
        <w:rPr>
          <w:rFonts w:ascii="Arial" w:hAnsi="Arial" w:cs="Arial"/>
          <w:sz w:val="20"/>
          <w:szCs w:val="20"/>
        </w:rPr>
      </w:pPr>
      <w:r w:rsidRPr="00C30382">
        <w:rPr>
          <w:rFonts w:ascii="Arial" w:hAnsi="Arial" w:cs="Arial"/>
          <w:sz w:val="20"/>
          <w:szCs w:val="20"/>
        </w:rPr>
        <w:t>Uslijed kontinuirane dostupnosti tableta MDMA-a</w:t>
      </w:r>
      <w:r>
        <w:rPr>
          <w:rFonts w:ascii="Arial" w:hAnsi="Arial" w:cs="Arial"/>
          <w:sz w:val="20"/>
          <w:szCs w:val="20"/>
        </w:rPr>
        <w:t xml:space="preserve"> </w:t>
      </w:r>
      <w:r w:rsidRPr="00D664BB">
        <w:rPr>
          <w:rFonts w:ascii="Arial" w:hAnsi="Arial" w:cs="Arial"/>
          <w:sz w:val="20"/>
          <w:szCs w:val="20"/>
        </w:rPr>
        <w:t>(</w:t>
      </w:r>
      <w:proofErr w:type="spellStart"/>
      <w:r w:rsidRPr="00D664BB">
        <w:rPr>
          <w:rFonts w:ascii="Arial" w:hAnsi="Arial" w:cs="Arial"/>
          <w:sz w:val="20"/>
          <w:szCs w:val="20"/>
        </w:rPr>
        <w:t>ecstasy</w:t>
      </w:r>
      <w:proofErr w:type="spellEnd"/>
      <w:r w:rsidRPr="00D664BB">
        <w:rPr>
          <w:rFonts w:ascii="Arial" w:hAnsi="Arial" w:cs="Arial"/>
          <w:sz w:val="20"/>
          <w:szCs w:val="20"/>
        </w:rPr>
        <w:t xml:space="preserve">) </w:t>
      </w:r>
      <w:r w:rsidRPr="00C30382">
        <w:rPr>
          <w:rFonts w:ascii="Arial" w:hAnsi="Arial" w:cs="Arial"/>
          <w:sz w:val="20"/>
          <w:szCs w:val="20"/>
        </w:rPr>
        <w:t xml:space="preserve">visoke potentnosti korisnici su izloženi riziku od štetnih posljedica za zdravlje. Međutim, pojedini znakovi ukazuju na pad razine uporabe MDMA-a tijekom 2020. godine, što je vjerojatno povezano s negativnim utjecajem restrikcija na noćni život tijekom </w:t>
      </w:r>
      <w:proofErr w:type="spellStart"/>
      <w:r w:rsidRPr="00C30382">
        <w:rPr>
          <w:rFonts w:ascii="Arial" w:hAnsi="Arial" w:cs="Arial"/>
          <w:sz w:val="20"/>
          <w:szCs w:val="20"/>
        </w:rPr>
        <w:t>pandemije</w:t>
      </w:r>
      <w:proofErr w:type="spellEnd"/>
      <w:r w:rsidRPr="00C30382">
        <w:rPr>
          <w:rFonts w:ascii="Arial" w:hAnsi="Arial" w:cs="Arial"/>
          <w:sz w:val="20"/>
          <w:szCs w:val="20"/>
        </w:rPr>
        <w:t>, a koji se nastavio i u 2021. godini.</w:t>
      </w:r>
      <w:r w:rsidRPr="00C30382">
        <w:t xml:space="preserve"> </w:t>
      </w:r>
      <w:r w:rsidRPr="00C30382">
        <w:rPr>
          <w:rFonts w:ascii="Arial" w:hAnsi="Arial" w:cs="Arial"/>
          <w:sz w:val="20"/>
          <w:szCs w:val="20"/>
        </w:rPr>
        <w:t xml:space="preserve">Navedeni nereprezentativni podaci dobiveni analizom tragova MDMA-a u otpadnim vodama, iz službi za testiranje sastava droga i provedenih fokus grupa s pružateljima usluga, ukazuju na to da je razina uporabe MDMA-a tijekom 2021. godine ostala ispod </w:t>
      </w:r>
      <w:proofErr w:type="spellStart"/>
      <w:r w:rsidRPr="00C30382">
        <w:rPr>
          <w:rFonts w:ascii="Arial" w:hAnsi="Arial" w:cs="Arial"/>
          <w:sz w:val="20"/>
          <w:szCs w:val="20"/>
        </w:rPr>
        <w:t>predpandemijske</w:t>
      </w:r>
      <w:proofErr w:type="spellEnd"/>
      <w:r w:rsidRPr="00C30382">
        <w:rPr>
          <w:rFonts w:ascii="Arial" w:hAnsi="Arial" w:cs="Arial"/>
          <w:sz w:val="20"/>
          <w:szCs w:val="20"/>
        </w:rPr>
        <w:t xml:space="preserve"> razine. Ostali podaci koje je dostavila Euro-DEN Plus mreža o broju hitnih bolničkih prijema povezanih s konzumacijom MDMA-om smanjila su se 2020. godine za otprilike polovicu.</w:t>
      </w:r>
    </w:p>
    <w:p w:rsidR="00C30382" w:rsidRDefault="00C30382" w:rsidP="00C30382">
      <w:pPr>
        <w:tabs>
          <w:tab w:val="left" w:pos="3670"/>
        </w:tabs>
        <w:jc w:val="both"/>
        <w:rPr>
          <w:rFonts w:ascii="Arial" w:hAnsi="Arial" w:cs="Arial"/>
          <w:lang w:eastAsia="en-GB"/>
        </w:rPr>
      </w:pPr>
    </w:p>
    <w:p w:rsidR="003432A6" w:rsidRDefault="003432A6" w:rsidP="00481C7C">
      <w:pPr>
        <w:tabs>
          <w:tab w:val="left" w:pos="3670"/>
        </w:tabs>
        <w:jc w:val="both"/>
        <w:rPr>
          <w:rFonts w:ascii="Arial" w:hAnsi="Arial" w:cs="Arial"/>
          <w:sz w:val="20"/>
          <w:szCs w:val="20"/>
        </w:rPr>
      </w:pPr>
      <w:r w:rsidRPr="003432A6">
        <w:rPr>
          <w:rFonts w:ascii="Arial" w:hAnsi="Arial" w:cs="Arial"/>
          <w:sz w:val="20"/>
          <w:szCs w:val="20"/>
        </w:rPr>
        <w:t xml:space="preserve">Iako heroin ostaje najčešće upotrebljavani nezakoniti </w:t>
      </w:r>
      <w:proofErr w:type="spellStart"/>
      <w:r w:rsidRPr="003432A6">
        <w:rPr>
          <w:rFonts w:ascii="Arial" w:hAnsi="Arial" w:cs="Arial"/>
          <w:sz w:val="20"/>
          <w:szCs w:val="20"/>
        </w:rPr>
        <w:t>opioid</w:t>
      </w:r>
      <w:proofErr w:type="spellEnd"/>
      <w:r w:rsidRPr="003432A6">
        <w:rPr>
          <w:rFonts w:ascii="Arial" w:hAnsi="Arial" w:cs="Arial"/>
          <w:sz w:val="20"/>
          <w:szCs w:val="20"/>
        </w:rPr>
        <w:t xml:space="preserve"> u Europi i droga koja je odgovorna za većinu smrtnih slučajeva uzrokovanih drogama, sve je veća zabrinutost zbog uloge sintetskih </w:t>
      </w:r>
      <w:proofErr w:type="spellStart"/>
      <w:r w:rsidRPr="003432A6">
        <w:rPr>
          <w:rFonts w:ascii="Arial" w:hAnsi="Arial" w:cs="Arial"/>
          <w:sz w:val="20"/>
          <w:szCs w:val="20"/>
        </w:rPr>
        <w:t>opioida</w:t>
      </w:r>
      <w:proofErr w:type="spellEnd"/>
      <w:r w:rsidRPr="003432A6">
        <w:rPr>
          <w:rFonts w:ascii="Arial" w:hAnsi="Arial" w:cs="Arial"/>
          <w:sz w:val="20"/>
          <w:szCs w:val="20"/>
        </w:rPr>
        <w:t xml:space="preserve"> u problemu droga u Europi. Derivati </w:t>
      </w:r>
      <w:proofErr w:type="spellStart"/>
      <w:r w:rsidRPr="003432A6">
        <w:rPr>
          <w:rFonts w:ascii="Arial" w:hAnsi="Arial" w:cs="Arial"/>
          <w:sz w:val="20"/>
          <w:szCs w:val="20"/>
        </w:rPr>
        <w:t>fentanila</w:t>
      </w:r>
      <w:proofErr w:type="spellEnd"/>
      <w:r w:rsidRPr="003432A6">
        <w:rPr>
          <w:rFonts w:ascii="Arial" w:hAnsi="Arial" w:cs="Arial"/>
          <w:sz w:val="20"/>
          <w:szCs w:val="20"/>
        </w:rPr>
        <w:t xml:space="preserve"> posebno su zabrinjavajući zbog središnje uloge koju ta skupina ima u problemu </w:t>
      </w:r>
      <w:proofErr w:type="spellStart"/>
      <w:r w:rsidRPr="003432A6">
        <w:rPr>
          <w:rFonts w:ascii="Arial" w:hAnsi="Arial" w:cs="Arial"/>
          <w:sz w:val="20"/>
          <w:szCs w:val="20"/>
        </w:rPr>
        <w:t>opioida</w:t>
      </w:r>
      <w:proofErr w:type="spellEnd"/>
      <w:r w:rsidRPr="003432A6">
        <w:rPr>
          <w:rFonts w:ascii="Arial" w:hAnsi="Arial" w:cs="Arial"/>
          <w:sz w:val="20"/>
          <w:szCs w:val="20"/>
        </w:rPr>
        <w:t xml:space="preserve"> u Sjevernoj Americi. Zabilježeni su smrtni slučajevi uslijed konzumacije </w:t>
      </w:r>
      <w:proofErr w:type="spellStart"/>
      <w:r w:rsidRPr="003432A6">
        <w:rPr>
          <w:rFonts w:ascii="Arial" w:hAnsi="Arial" w:cs="Arial"/>
          <w:sz w:val="20"/>
          <w:szCs w:val="20"/>
        </w:rPr>
        <w:t>fentanila</w:t>
      </w:r>
      <w:proofErr w:type="spellEnd"/>
      <w:r w:rsidRPr="003432A6">
        <w:rPr>
          <w:rFonts w:ascii="Arial" w:hAnsi="Arial" w:cs="Arial"/>
          <w:sz w:val="20"/>
          <w:szCs w:val="20"/>
        </w:rPr>
        <w:t xml:space="preserve"> u Europi, a u prošlosti su derivati </w:t>
      </w:r>
      <w:proofErr w:type="spellStart"/>
      <w:r w:rsidRPr="003432A6">
        <w:rPr>
          <w:rFonts w:ascii="Arial" w:hAnsi="Arial" w:cs="Arial"/>
          <w:sz w:val="20"/>
          <w:szCs w:val="20"/>
        </w:rPr>
        <w:t>fentanila</w:t>
      </w:r>
      <w:proofErr w:type="spellEnd"/>
      <w:r w:rsidRPr="003432A6">
        <w:rPr>
          <w:rFonts w:ascii="Arial" w:hAnsi="Arial" w:cs="Arial"/>
          <w:sz w:val="20"/>
          <w:szCs w:val="20"/>
        </w:rPr>
        <w:t xml:space="preserve"> bili najčešći oblik </w:t>
      </w:r>
      <w:proofErr w:type="spellStart"/>
      <w:r w:rsidRPr="003432A6">
        <w:rPr>
          <w:rFonts w:ascii="Arial" w:hAnsi="Arial" w:cs="Arial"/>
          <w:sz w:val="20"/>
          <w:szCs w:val="20"/>
        </w:rPr>
        <w:t>opioida</w:t>
      </w:r>
      <w:proofErr w:type="spellEnd"/>
      <w:r w:rsidRPr="003432A6">
        <w:rPr>
          <w:rFonts w:ascii="Arial" w:hAnsi="Arial" w:cs="Arial"/>
          <w:sz w:val="20"/>
          <w:szCs w:val="20"/>
        </w:rPr>
        <w:t xml:space="preserve"> koji se konzumira u Estoniji i koje su ponekad prijavile i druge zemlje. Ograničeni dostupni podaci ukazuju na pad broja slučajeva predoziranja </w:t>
      </w:r>
      <w:proofErr w:type="spellStart"/>
      <w:r w:rsidRPr="003432A6">
        <w:rPr>
          <w:rFonts w:ascii="Arial" w:hAnsi="Arial" w:cs="Arial"/>
          <w:sz w:val="20"/>
          <w:szCs w:val="20"/>
        </w:rPr>
        <w:t>fentanilom</w:t>
      </w:r>
      <w:proofErr w:type="spellEnd"/>
      <w:r w:rsidRPr="003432A6">
        <w:rPr>
          <w:rFonts w:ascii="Arial" w:hAnsi="Arial" w:cs="Arial"/>
          <w:sz w:val="20"/>
          <w:szCs w:val="20"/>
        </w:rPr>
        <w:t xml:space="preserve"> sa smrtnim ishodom i bez smrtnog ishoda tijekom 2020. godine.</w:t>
      </w:r>
      <w:r w:rsidRPr="003432A6">
        <w:rPr>
          <w:rFonts w:ascii="Trivia Sans Book" w:eastAsiaTheme="minorHAnsi" w:hAnsi="Trivia Sans Book" w:cs="Trivia Sans Book"/>
          <w:color w:val="57585B"/>
          <w:sz w:val="22"/>
          <w:szCs w:val="22"/>
          <w:lang w:eastAsia="en-US"/>
        </w:rPr>
        <w:t xml:space="preserve"> </w:t>
      </w:r>
      <w:r w:rsidRPr="003432A6">
        <w:rPr>
          <w:rFonts w:ascii="Arial" w:hAnsi="Arial" w:cs="Arial"/>
          <w:sz w:val="20"/>
          <w:szCs w:val="20"/>
        </w:rPr>
        <w:t xml:space="preserve">Pokazatelji uporabe heroina i pad zaplijenjenih količina heroina u Turskoj i Bugarskoj tijekom 2020. godine zajedno s velikim zapljenama zabilježenim u drugim tranzitnim državama ukazuju na značajni utjecaj ograničenja transporta uzrokovanih </w:t>
      </w:r>
      <w:proofErr w:type="spellStart"/>
      <w:r w:rsidRPr="003432A6">
        <w:rPr>
          <w:rFonts w:ascii="Arial" w:hAnsi="Arial" w:cs="Arial"/>
          <w:sz w:val="20"/>
          <w:szCs w:val="20"/>
        </w:rPr>
        <w:t>pandemijom</w:t>
      </w:r>
      <w:proofErr w:type="spellEnd"/>
      <w:r w:rsidRPr="003432A6">
        <w:rPr>
          <w:rFonts w:ascii="Arial" w:hAnsi="Arial" w:cs="Arial"/>
          <w:sz w:val="20"/>
          <w:szCs w:val="20"/>
        </w:rPr>
        <w:t xml:space="preserve"> bolesti COVID-19 na krijumčarenje heroina duž balkanske rute u Europsku uniju.</w:t>
      </w:r>
      <w:r w:rsidR="001E6A45" w:rsidRPr="001E6A45">
        <w:rPr>
          <w:rFonts w:ascii="Trivia Sans Book" w:eastAsiaTheme="minorHAnsi" w:hAnsi="Trivia Sans Book" w:cs="Trivia Sans Book"/>
          <w:color w:val="000000"/>
          <w:sz w:val="18"/>
          <w:szCs w:val="18"/>
          <w:lang w:eastAsia="en-US"/>
        </w:rPr>
        <w:t xml:space="preserve"> </w:t>
      </w:r>
      <w:r w:rsidR="001E6A45" w:rsidRPr="001E6A45">
        <w:rPr>
          <w:rFonts w:ascii="Arial" w:hAnsi="Arial" w:cs="Arial"/>
          <w:sz w:val="20"/>
          <w:szCs w:val="20"/>
        </w:rPr>
        <w:t>Države članice EU-a prijavile su 18 000 zapljena heroina u ukupnoj količini od 5,1 tone tijekom 2020. godine (7,9 tona tijekom 2019.). Turska je 2020. godine zaplijenila više od 13,4 tone heroina (20 tona 2019.).</w:t>
      </w:r>
      <w:r w:rsidR="001E6A45">
        <w:rPr>
          <w:rFonts w:ascii="Arial" w:hAnsi="Arial" w:cs="Arial"/>
          <w:sz w:val="20"/>
          <w:szCs w:val="20"/>
        </w:rPr>
        <w:t xml:space="preserve"> Međutim, </w:t>
      </w:r>
      <w:r w:rsidR="001E6A45" w:rsidRPr="001E6A45">
        <w:rPr>
          <w:rFonts w:ascii="Arial" w:hAnsi="Arial" w:cs="Arial"/>
          <w:sz w:val="20"/>
          <w:szCs w:val="20"/>
        </w:rPr>
        <w:t>preliminarni podaci za 2021. godinu ukazuju na povratak zapljena na</w:t>
      </w:r>
      <w:r w:rsidR="001E6A45">
        <w:rPr>
          <w:rFonts w:ascii="Arial" w:hAnsi="Arial" w:cs="Arial"/>
          <w:sz w:val="20"/>
          <w:szCs w:val="20"/>
        </w:rPr>
        <w:t xml:space="preserve"> </w:t>
      </w:r>
      <w:proofErr w:type="spellStart"/>
      <w:r w:rsidR="001E6A45" w:rsidRPr="001E6A45">
        <w:rPr>
          <w:rFonts w:ascii="Arial" w:hAnsi="Arial" w:cs="Arial"/>
          <w:sz w:val="20"/>
          <w:szCs w:val="20"/>
        </w:rPr>
        <w:t>predpandemijske</w:t>
      </w:r>
      <w:proofErr w:type="spellEnd"/>
      <w:r w:rsidR="001E6A45" w:rsidRPr="001E6A45">
        <w:rPr>
          <w:rFonts w:ascii="Arial" w:hAnsi="Arial" w:cs="Arial"/>
          <w:sz w:val="20"/>
          <w:szCs w:val="20"/>
        </w:rPr>
        <w:t xml:space="preserve"> razine.</w:t>
      </w:r>
      <w:r w:rsidR="001E6A45" w:rsidRPr="001E6A45">
        <w:rPr>
          <w:rFonts w:ascii="Trivia Sans Book" w:eastAsiaTheme="minorHAnsi" w:hAnsi="Trivia Sans Book" w:cs="Trivia Sans Book"/>
          <w:color w:val="000000"/>
          <w:sz w:val="18"/>
          <w:szCs w:val="18"/>
          <w:lang w:eastAsia="en-US"/>
        </w:rPr>
        <w:t xml:space="preserve"> </w:t>
      </w:r>
      <w:r w:rsidR="001E6A45" w:rsidRPr="001E6A45">
        <w:rPr>
          <w:rFonts w:ascii="Arial" w:hAnsi="Arial" w:cs="Arial"/>
          <w:sz w:val="20"/>
          <w:szCs w:val="20"/>
        </w:rPr>
        <w:t>Prosječna čistoća heroina na maloprodajnoj razini 2020. go</w:t>
      </w:r>
      <w:r w:rsidR="001E6A45">
        <w:rPr>
          <w:rFonts w:ascii="Arial" w:hAnsi="Arial" w:cs="Arial"/>
          <w:sz w:val="20"/>
          <w:szCs w:val="20"/>
        </w:rPr>
        <w:t>dine kretala se od 13 % do 55 %.</w:t>
      </w:r>
      <w:r w:rsidR="001E6A45" w:rsidRPr="001E6A45">
        <w:rPr>
          <w:rFonts w:ascii="Trivia Sans Book" w:eastAsiaTheme="minorHAnsi" w:hAnsi="Trivia Sans Book" w:cs="Trivia Sans Book"/>
          <w:color w:val="000000"/>
          <w:sz w:val="18"/>
          <w:szCs w:val="18"/>
          <w:lang w:eastAsia="en-US"/>
        </w:rPr>
        <w:t xml:space="preserve"> </w:t>
      </w:r>
      <w:r w:rsidR="001E6A45" w:rsidRPr="001E6A45">
        <w:rPr>
          <w:rFonts w:ascii="Arial" w:hAnsi="Arial" w:cs="Arial"/>
          <w:sz w:val="20"/>
          <w:szCs w:val="20"/>
        </w:rPr>
        <w:t>Zabilježeni trendovi ukazuju na prosječnu čistoću heroina koja se povećala za 9 % između 2010. i 2020. godine, dok je njegova cijena pala za 8 %.</w:t>
      </w:r>
      <w:r w:rsidR="001E6A45" w:rsidRPr="001E6A45">
        <w:rPr>
          <w:rFonts w:ascii="Trivia Sans Book" w:eastAsiaTheme="minorHAnsi" w:hAnsi="Trivia Sans Book" w:cs="Trivia Sans Book"/>
          <w:color w:val="000000"/>
          <w:sz w:val="18"/>
          <w:szCs w:val="18"/>
          <w:lang w:eastAsia="en-US"/>
        </w:rPr>
        <w:t xml:space="preserve"> </w:t>
      </w:r>
      <w:r w:rsidR="001E6A45" w:rsidRPr="001E6A45">
        <w:rPr>
          <w:rFonts w:ascii="Arial" w:hAnsi="Arial" w:cs="Arial"/>
          <w:sz w:val="20"/>
          <w:szCs w:val="20"/>
        </w:rPr>
        <w:t xml:space="preserve">Tijekom 2020. godine prijavljeno je gotovo 10 000 zapljena drugih </w:t>
      </w:r>
      <w:proofErr w:type="spellStart"/>
      <w:r w:rsidR="001E6A45" w:rsidRPr="001E6A45">
        <w:rPr>
          <w:rFonts w:ascii="Arial" w:hAnsi="Arial" w:cs="Arial"/>
          <w:sz w:val="20"/>
          <w:szCs w:val="20"/>
        </w:rPr>
        <w:t>opioida</w:t>
      </w:r>
      <w:proofErr w:type="spellEnd"/>
      <w:r w:rsidR="001E6A45" w:rsidRPr="001E6A45">
        <w:rPr>
          <w:rFonts w:ascii="Arial" w:hAnsi="Arial" w:cs="Arial"/>
          <w:sz w:val="20"/>
          <w:szCs w:val="20"/>
        </w:rPr>
        <w:t>, u ukupnoj količini većoj od 3,5 tona, više od 130 litara i 1,6 milijuna tableta.</w:t>
      </w:r>
      <w:r w:rsidR="001E6A45" w:rsidRPr="001E6A45">
        <w:rPr>
          <w:rFonts w:ascii="Trivia Sans Book" w:eastAsiaTheme="minorHAnsi" w:hAnsi="Trivia Sans Book" w:cs="Trivia Sans Book"/>
          <w:color w:val="000000"/>
          <w:sz w:val="18"/>
          <w:szCs w:val="18"/>
          <w:lang w:eastAsia="en-US"/>
        </w:rPr>
        <w:t xml:space="preserve"> </w:t>
      </w:r>
      <w:r w:rsidR="001E6A45" w:rsidRPr="001E6A45">
        <w:rPr>
          <w:rFonts w:ascii="Arial" w:hAnsi="Arial" w:cs="Arial"/>
          <w:sz w:val="20"/>
          <w:szCs w:val="20"/>
        </w:rPr>
        <w:t xml:space="preserve">Uporaba </w:t>
      </w:r>
      <w:proofErr w:type="spellStart"/>
      <w:r w:rsidR="001E6A45" w:rsidRPr="001E6A45">
        <w:rPr>
          <w:rFonts w:ascii="Arial" w:hAnsi="Arial" w:cs="Arial"/>
          <w:sz w:val="20"/>
          <w:szCs w:val="20"/>
        </w:rPr>
        <w:t>opioida</w:t>
      </w:r>
      <w:proofErr w:type="spellEnd"/>
      <w:r w:rsidR="001E6A45" w:rsidRPr="001E6A45">
        <w:rPr>
          <w:rFonts w:ascii="Arial" w:hAnsi="Arial" w:cs="Arial"/>
          <w:sz w:val="20"/>
          <w:szCs w:val="20"/>
        </w:rPr>
        <w:t xml:space="preserve"> zabilježena je kao glavni razlog za početak specijaliziranog tretmana ovisnosti o drogama za 66 000 korisnika u 2020. godini, što čini 28 % svih osoba koje su započele tretman ovisnosti u Europi. Heroin je bio primarno sredstvo ovisnosti za 8500 (77 %) od 11 200 osoba koje su prvi put uključene u tretman, a koje su navele poseban </w:t>
      </w:r>
      <w:proofErr w:type="spellStart"/>
      <w:r w:rsidR="001E6A45" w:rsidRPr="001E6A45">
        <w:rPr>
          <w:rFonts w:ascii="Arial" w:hAnsi="Arial" w:cs="Arial"/>
          <w:sz w:val="20"/>
          <w:szCs w:val="20"/>
        </w:rPr>
        <w:t>opioid</w:t>
      </w:r>
      <w:proofErr w:type="spellEnd"/>
      <w:r w:rsidR="001E6A45" w:rsidRPr="001E6A45">
        <w:rPr>
          <w:rFonts w:ascii="Arial" w:hAnsi="Arial" w:cs="Arial"/>
          <w:sz w:val="20"/>
          <w:szCs w:val="20"/>
        </w:rPr>
        <w:t xml:space="preserve"> kao glavno sredstvo ovisnosti.</w:t>
      </w:r>
      <w:r w:rsidR="001E6A45" w:rsidRPr="001E6A45">
        <w:t xml:space="preserve"> </w:t>
      </w:r>
    </w:p>
    <w:p w:rsidR="0052518D" w:rsidRDefault="0052518D" w:rsidP="009F1177">
      <w:pPr>
        <w:jc w:val="both"/>
        <w:rPr>
          <w:rFonts w:ascii="Arial" w:hAnsi="Arial" w:cs="Arial"/>
          <w:sz w:val="20"/>
          <w:szCs w:val="20"/>
        </w:rPr>
      </w:pPr>
    </w:p>
    <w:p w:rsidR="001E6A45" w:rsidRDefault="001E6A45" w:rsidP="009F1177">
      <w:pPr>
        <w:jc w:val="both"/>
        <w:rPr>
          <w:rFonts w:ascii="Arial" w:hAnsi="Arial" w:cs="Arial"/>
          <w:noProof/>
          <w:sz w:val="20"/>
          <w:szCs w:val="20"/>
        </w:rPr>
      </w:pPr>
      <w:r w:rsidRPr="001E6A45">
        <w:rPr>
          <w:rFonts w:ascii="Arial" w:hAnsi="Arial" w:cs="Arial"/>
          <w:noProof/>
          <w:sz w:val="20"/>
          <w:szCs w:val="20"/>
        </w:rPr>
        <w:t xml:space="preserve">Krajem 2021. godine EMCDDA je </w:t>
      </w:r>
      <w:r>
        <w:rPr>
          <w:rFonts w:ascii="Arial" w:hAnsi="Arial" w:cs="Arial"/>
          <w:noProof/>
          <w:sz w:val="20"/>
          <w:szCs w:val="20"/>
        </w:rPr>
        <w:t>pratio</w:t>
      </w:r>
      <w:r w:rsidRPr="001E6A45">
        <w:rPr>
          <w:rFonts w:ascii="Arial" w:hAnsi="Arial" w:cs="Arial"/>
          <w:noProof/>
          <w:sz w:val="20"/>
          <w:szCs w:val="20"/>
        </w:rPr>
        <w:t xml:space="preserve"> oko 880 novih psihoaktivnih tvari, od kojih su njih 52 prvi put prijavljene u Europi 2021. godine. Gotovo 7 tona novih psihoaktivnih tvari zaplijenjeno je 2020. godine koje se prodaju zbog svojih psihoaktivnih svojstava, ali se ne kontroliraju u skladu s međunarodnim konvencijama o drogama.</w:t>
      </w:r>
      <w:r w:rsidRPr="001E6A45">
        <w:rPr>
          <w:rFonts w:ascii="Trivia Sans Book" w:eastAsiaTheme="minorHAnsi" w:hAnsi="Trivia Sans Book" w:cs="Trivia Sans Book"/>
          <w:color w:val="000000"/>
          <w:sz w:val="18"/>
          <w:szCs w:val="18"/>
          <w:lang w:eastAsia="en-US"/>
        </w:rPr>
        <w:t xml:space="preserve"> </w:t>
      </w:r>
      <w:r w:rsidRPr="001E6A45">
        <w:rPr>
          <w:rFonts w:ascii="Arial" w:hAnsi="Arial" w:cs="Arial"/>
          <w:noProof/>
          <w:sz w:val="20"/>
          <w:szCs w:val="20"/>
        </w:rPr>
        <w:t xml:space="preserve">Tijekom 2020. godine 65 % zaplijenjenog materijala (3,3 tone) činili su prah katinona, od čega je </w:t>
      </w:r>
      <w:r w:rsidRPr="001E6A45">
        <w:rPr>
          <w:rFonts w:ascii="Arial" w:hAnsi="Arial" w:cs="Arial"/>
          <w:i/>
          <w:iCs/>
          <w:noProof/>
          <w:sz w:val="20"/>
          <w:szCs w:val="20"/>
        </w:rPr>
        <w:t>N</w:t>
      </w:r>
      <w:r w:rsidRPr="001E6A45">
        <w:rPr>
          <w:rFonts w:ascii="Arial" w:hAnsi="Arial" w:cs="Arial"/>
          <w:noProof/>
          <w:sz w:val="20"/>
          <w:szCs w:val="20"/>
        </w:rPr>
        <w:t>-etilheksedron činio jednu trećinu, dok su 3-MMC i 3-CMC činili jednu četvrtinu.</w:t>
      </w:r>
      <w:r>
        <w:rPr>
          <w:rFonts w:ascii="Arial" w:hAnsi="Arial" w:cs="Arial"/>
          <w:noProof/>
          <w:sz w:val="20"/>
          <w:szCs w:val="20"/>
        </w:rPr>
        <w:t xml:space="preserve"> </w:t>
      </w:r>
      <w:r w:rsidRPr="001E6A45">
        <w:rPr>
          <w:rFonts w:ascii="Arial" w:hAnsi="Arial" w:cs="Arial"/>
          <w:noProof/>
          <w:sz w:val="20"/>
          <w:szCs w:val="20"/>
        </w:rPr>
        <w:t>U Europi je od 2008. godine otkriveno ukupno 224 novih sintetskih kanabinoida, uključujući njih 15 koji su prvi put prijavljeni 2021. godine</w:t>
      </w:r>
      <w:r>
        <w:rPr>
          <w:rFonts w:ascii="Arial" w:hAnsi="Arial" w:cs="Arial"/>
          <w:noProof/>
          <w:sz w:val="20"/>
          <w:szCs w:val="20"/>
        </w:rPr>
        <w:t>.</w:t>
      </w:r>
      <w:r w:rsidRPr="001E6A45">
        <w:rPr>
          <w:rFonts w:ascii="Trivia Sans Book" w:eastAsiaTheme="minorHAnsi" w:hAnsi="Trivia Sans Book" w:cs="Trivia Sans Book"/>
          <w:color w:val="000000"/>
          <w:sz w:val="18"/>
          <w:szCs w:val="18"/>
          <w:lang w:eastAsia="en-US"/>
        </w:rPr>
        <w:t xml:space="preserve"> </w:t>
      </w:r>
      <w:r w:rsidRPr="001E6A45">
        <w:rPr>
          <w:rFonts w:ascii="Arial" w:hAnsi="Arial" w:cs="Arial"/>
          <w:noProof/>
          <w:sz w:val="20"/>
          <w:szCs w:val="20"/>
        </w:rPr>
        <w:t>Smrtne slučajeve od sintetskih kanabinoida prijavile su tri zemlje 2020.: Njemačka (9), Mađarska (34) i Turska (49). Analizom 1 166 korištenih šprica, koje je 2020. godine prikupila ESCAPE mreža u sedam europskih gradova pronađeni su sintetski katinoni u više od polovine svih analiziranih šprica u Budimpešti i Parizu.</w:t>
      </w:r>
      <w:r>
        <w:rPr>
          <w:rFonts w:ascii="Arial" w:hAnsi="Arial" w:cs="Arial"/>
          <w:noProof/>
          <w:sz w:val="20"/>
          <w:szCs w:val="20"/>
        </w:rPr>
        <w:t xml:space="preserve"> </w:t>
      </w:r>
      <w:r w:rsidRPr="001E6A45">
        <w:rPr>
          <w:rFonts w:ascii="Arial" w:hAnsi="Arial" w:cs="Arial"/>
          <w:noProof/>
          <w:sz w:val="20"/>
          <w:szCs w:val="20"/>
        </w:rPr>
        <w:t>Na europsko tržište novih psihoaktivnih tvari utjecala su ograničenja u pogledu njihove proizvodnje i izvoza koja je nedavno uvela Kina, jedna od glavnih država proizvodnje. Čini se da su zapljene 2020. godine predstavljale prilagodbu tržišta navedenim promjenama s obzirom na to da je na njima prevladavao mali broj zapljena velikih količina sintetskih katinona, uglavnom krijumčara iz Indije, iako su od 2015. godine otkrivena barem 52 laboratorija koja proizvode navedene tvari u Europi.</w:t>
      </w:r>
    </w:p>
    <w:p w:rsidR="001E6A45" w:rsidRDefault="001E6A45" w:rsidP="009F1177">
      <w:pPr>
        <w:jc w:val="both"/>
        <w:rPr>
          <w:rFonts w:ascii="Arial" w:hAnsi="Arial" w:cs="Arial"/>
          <w:noProof/>
          <w:sz w:val="20"/>
          <w:szCs w:val="20"/>
        </w:rPr>
      </w:pPr>
    </w:p>
    <w:p w:rsidR="001E6A45" w:rsidRPr="000C4EEB" w:rsidRDefault="001E6A45" w:rsidP="009F1177">
      <w:pPr>
        <w:jc w:val="both"/>
        <w:rPr>
          <w:rFonts w:ascii="Arial" w:hAnsi="Arial" w:cs="Arial"/>
          <w:noProof/>
          <w:sz w:val="20"/>
          <w:szCs w:val="20"/>
        </w:rPr>
      </w:pPr>
      <w:r w:rsidRPr="001E6A45">
        <w:rPr>
          <w:rFonts w:ascii="Arial" w:hAnsi="Arial" w:cs="Arial"/>
          <w:noProof/>
          <w:sz w:val="20"/>
          <w:szCs w:val="20"/>
        </w:rPr>
        <w:lastRenderedPageBreak/>
        <w:t>U pojedinim je državama izražena zabrinutost zbog povećanih poteškoća povezanih s uporabom droga kao što su ketamin i GBL te GHB</w:t>
      </w:r>
      <w:r w:rsidR="00831BAB">
        <w:rPr>
          <w:rFonts w:ascii="Arial" w:hAnsi="Arial" w:cs="Arial"/>
          <w:noProof/>
          <w:sz w:val="20"/>
          <w:szCs w:val="20"/>
        </w:rPr>
        <w:t>.</w:t>
      </w:r>
      <w:r w:rsidRPr="001E6A45">
        <w:rPr>
          <w:rFonts w:ascii="Trivia Sans Book" w:eastAsiaTheme="minorHAnsi" w:hAnsi="Trivia Sans Book" w:cs="Trivia Sans Book"/>
          <w:color w:val="57585B"/>
          <w:sz w:val="22"/>
          <w:szCs w:val="22"/>
          <w:lang w:eastAsia="en-US"/>
        </w:rPr>
        <w:t xml:space="preserve"> </w:t>
      </w:r>
      <w:r w:rsidRPr="001E6A45">
        <w:rPr>
          <w:rFonts w:ascii="Arial" w:hAnsi="Arial" w:cs="Arial"/>
          <w:noProof/>
          <w:sz w:val="20"/>
          <w:szCs w:val="20"/>
        </w:rPr>
        <w:t xml:space="preserve">Praćenje trendova u navedenom području </w:t>
      </w:r>
      <w:r w:rsidR="00831BAB">
        <w:rPr>
          <w:rFonts w:ascii="Arial" w:hAnsi="Arial" w:cs="Arial"/>
          <w:noProof/>
          <w:sz w:val="20"/>
          <w:szCs w:val="20"/>
        </w:rPr>
        <w:t>otežava</w:t>
      </w:r>
      <w:r w:rsidRPr="001E6A45">
        <w:rPr>
          <w:rFonts w:ascii="Arial" w:hAnsi="Arial" w:cs="Arial"/>
          <w:noProof/>
          <w:sz w:val="20"/>
          <w:szCs w:val="20"/>
        </w:rPr>
        <w:t xml:space="preserve"> činjenica da se intenzivna uporaba </w:t>
      </w:r>
      <w:r w:rsidR="00831BAB">
        <w:rPr>
          <w:rFonts w:ascii="Arial" w:hAnsi="Arial" w:cs="Arial"/>
          <w:noProof/>
          <w:sz w:val="20"/>
          <w:szCs w:val="20"/>
        </w:rPr>
        <w:t>tih</w:t>
      </w:r>
      <w:r w:rsidRPr="001E6A45">
        <w:rPr>
          <w:rFonts w:ascii="Arial" w:hAnsi="Arial" w:cs="Arial"/>
          <w:noProof/>
          <w:sz w:val="20"/>
          <w:szCs w:val="20"/>
        </w:rPr>
        <w:t xml:space="preserve"> droga često odvija u specijaliziranim okruženjima i kontekstima. </w:t>
      </w:r>
      <w:r w:rsidR="00831BAB">
        <w:rPr>
          <w:rFonts w:ascii="Arial" w:hAnsi="Arial" w:cs="Arial"/>
          <w:noProof/>
          <w:sz w:val="20"/>
          <w:szCs w:val="20"/>
        </w:rPr>
        <w:t>I</w:t>
      </w:r>
      <w:r w:rsidRPr="001E6A45">
        <w:rPr>
          <w:rFonts w:ascii="Arial" w:hAnsi="Arial" w:cs="Arial"/>
          <w:noProof/>
          <w:sz w:val="20"/>
          <w:szCs w:val="20"/>
        </w:rPr>
        <w:t>nformacije iz sedam država članica EU-a ukazuju na to da</w:t>
      </w:r>
      <w:r w:rsidR="00831BAB">
        <w:rPr>
          <w:rFonts w:ascii="Arial" w:hAnsi="Arial" w:cs="Arial"/>
          <w:noProof/>
          <w:sz w:val="20"/>
          <w:szCs w:val="20"/>
        </w:rPr>
        <w:t xml:space="preserve"> j</w:t>
      </w:r>
      <w:r w:rsidRPr="001E6A45">
        <w:rPr>
          <w:rFonts w:ascii="Arial" w:hAnsi="Arial" w:cs="Arial"/>
          <w:noProof/>
          <w:sz w:val="20"/>
          <w:szCs w:val="20"/>
        </w:rPr>
        <w:t>e uporaba dušikova oksida među mladima</w:t>
      </w:r>
      <w:r w:rsidR="00831BAB">
        <w:rPr>
          <w:rFonts w:ascii="Arial" w:hAnsi="Arial" w:cs="Arial"/>
          <w:noProof/>
          <w:sz w:val="20"/>
          <w:szCs w:val="20"/>
        </w:rPr>
        <w:t xml:space="preserve"> vjerojatno u porastu</w:t>
      </w:r>
      <w:r w:rsidRPr="001E6A45">
        <w:rPr>
          <w:rFonts w:ascii="Arial" w:hAnsi="Arial" w:cs="Arial"/>
          <w:noProof/>
          <w:sz w:val="20"/>
          <w:szCs w:val="20"/>
        </w:rPr>
        <w:t xml:space="preserve">. Uporaba dušikova oksida </w:t>
      </w:r>
      <w:r w:rsidR="00F32789">
        <w:rPr>
          <w:rFonts w:ascii="Arial" w:hAnsi="Arial" w:cs="Arial"/>
          <w:noProof/>
          <w:sz w:val="20"/>
          <w:szCs w:val="20"/>
        </w:rPr>
        <w:t xml:space="preserve">postizanje psihoaktivnog učinka </w:t>
      </w:r>
      <w:r w:rsidRPr="001E6A45">
        <w:rPr>
          <w:rFonts w:ascii="Arial" w:hAnsi="Arial" w:cs="Arial"/>
          <w:noProof/>
          <w:sz w:val="20"/>
          <w:szCs w:val="20"/>
        </w:rPr>
        <w:t>predstavlja regulatorni izazov s obzirom na to da navedena tvar ima i zakonitu komercijalnu uporabu.</w:t>
      </w:r>
    </w:p>
    <w:p w:rsidR="007C4BB8" w:rsidRDefault="007C4BB8" w:rsidP="00C35A3E">
      <w:pPr>
        <w:tabs>
          <w:tab w:val="left" w:pos="3670"/>
        </w:tabs>
        <w:rPr>
          <w:rFonts w:ascii="Arial" w:hAnsi="Arial" w:cs="Arial"/>
          <w:b/>
          <w:color w:val="00B050"/>
          <w:sz w:val="22"/>
          <w:szCs w:val="22"/>
          <w:lang w:eastAsia="en-GB" w:bidi="hr-HR"/>
        </w:rPr>
      </w:pPr>
    </w:p>
    <w:p w:rsidR="00CB63D8" w:rsidRDefault="00943DEB" w:rsidP="00C35A3E">
      <w:pPr>
        <w:tabs>
          <w:tab w:val="left" w:pos="3670"/>
        </w:tabs>
        <w:rPr>
          <w:rFonts w:ascii="Arial" w:hAnsi="Arial" w:cs="Arial"/>
          <w:b/>
          <w:color w:val="00B050"/>
          <w:sz w:val="22"/>
          <w:szCs w:val="22"/>
          <w:lang w:eastAsia="en-GB" w:bidi="hr-HR"/>
        </w:rPr>
      </w:pPr>
      <w:proofErr w:type="spellStart"/>
      <w:r w:rsidRPr="00B650E3">
        <w:rPr>
          <w:rFonts w:ascii="Arial" w:hAnsi="Arial" w:cs="Arial"/>
          <w:b/>
          <w:color w:val="00B050"/>
          <w:sz w:val="22"/>
          <w:szCs w:val="22"/>
          <w:lang w:eastAsia="en-GB" w:bidi="hr-HR"/>
        </w:rPr>
        <w:t>Prevalencija</w:t>
      </w:r>
      <w:proofErr w:type="spellEnd"/>
      <w:r w:rsidRPr="00B650E3">
        <w:rPr>
          <w:rFonts w:ascii="Arial" w:hAnsi="Arial" w:cs="Arial"/>
          <w:b/>
          <w:color w:val="00B050"/>
          <w:sz w:val="22"/>
          <w:szCs w:val="22"/>
          <w:lang w:eastAsia="en-GB" w:bidi="hr-HR"/>
        </w:rPr>
        <w:t xml:space="preserve"> i trendovi uporabe droga </w:t>
      </w:r>
    </w:p>
    <w:p w:rsidR="007C4BB8" w:rsidRDefault="007C4BB8" w:rsidP="00C35A3E">
      <w:pPr>
        <w:tabs>
          <w:tab w:val="left" w:pos="3670"/>
        </w:tabs>
        <w:rPr>
          <w:rFonts w:ascii="Arial" w:hAnsi="Arial" w:cs="Arial"/>
          <w:b/>
          <w:color w:val="00B050"/>
          <w:sz w:val="22"/>
          <w:szCs w:val="22"/>
          <w:lang w:eastAsia="en-GB" w:bidi="hr-HR"/>
        </w:rPr>
      </w:pPr>
    </w:p>
    <w:p w:rsidR="007C4BB8" w:rsidRPr="0084122E" w:rsidRDefault="007C4BB8" w:rsidP="007C4BB8">
      <w:pPr>
        <w:pStyle w:val="Odlomakpopisa"/>
        <w:numPr>
          <w:ilvl w:val="0"/>
          <w:numId w:val="14"/>
        </w:numPr>
        <w:tabs>
          <w:tab w:val="left" w:pos="3670"/>
        </w:tabs>
        <w:rPr>
          <w:rFonts w:ascii="Arial" w:hAnsi="Arial" w:cs="Arial"/>
          <w:sz w:val="20"/>
          <w:szCs w:val="20"/>
          <w:lang w:eastAsia="en-GB" w:bidi="hr-HR"/>
        </w:rPr>
      </w:pPr>
      <w:r w:rsidRPr="0084122E">
        <w:rPr>
          <w:rFonts w:ascii="Arial" w:hAnsi="Arial" w:cs="Arial"/>
          <w:sz w:val="20"/>
          <w:szCs w:val="20"/>
          <w:lang w:eastAsia="en-GB" w:bidi="hr-HR"/>
        </w:rPr>
        <w:t xml:space="preserve">Zlouporaba sredstava ovisnosti u općoj populaciji </w:t>
      </w:r>
    </w:p>
    <w:p w:rsidR="005D3F7C" w:rsidRDefault="005D3F7C" w:rsidP="00C35A3E">
      <w:pPr>
        <w:tabs>
          <w:tab w:val="left" w:pos="3670"/>
        </w:tabs>
        <w:rPr>
          <w:rFonts w:ascii="Arial" w:hAnsi="Arial" w:cs="Arial"/>
          <w:b/>
          <w:color w:val="00B050"/>
          <w:sz w:val="22"/>
          <w:szCs w:val="22"/>
          <w:lang w:eastAsia="en-GB" w:bidi="hr-HR"/>
        </w:rPr>
      </w:pPr>
    </w:p>
    <w:p w:rsidR="00F63785" w:rsidRDefault="00D12A01" w:rsidP="005D3F7C">
      <w:pPr>
        <w:tabs>
          <w:tab w:val="left" w:pos="3670"/>
        </w:tabs>
        <w:jc w:val="both"/>
        <w:rPr>
          <w:rFonts w:ascii="Arial" w:hAnsi="Arial" w:cs="Arial"/>
          <w:sz w:val="20"/>
          <w:szCs w:val="20"/>
          <w:lang w:eastAsia="en-GB" w:bidi="hr-HR"/>
        </w:rPr>
      </w:pPr>
      <w:r w:rsidRPr="00D12A01">
        <w:rPr>
          <w:rFonts w:ascii="Arial" w:hAnsi="Arial" w:cs="Arial"/>
          <w:sz w:val="20"/>
          <w:szCs w:val="20"/>
          <w:lang w:eastAsia="en-GB" w:bidi="hr-HR"/>
        </w:rPr>
        <w:t>Procjenjuje se da je otprilike 83</w:t>
      </w:r>
      <w:r w:rsidR="008810F4">
        <w:rPr>
          <w:rFonts w:ascii="Arial" w:hAnsi="Arial" w:cs="Arial"/>
          <w:sz w:val="20"/>
          <w:szCs w:val="20"/>
          <w:lang w:eastAsia="en-GB" w:bidi="hr-HR"/>
        </w:rPr>
        <w:t>,4</w:t>
      </w:r>
      <w:r w:rsidRPr="00D12A01">
        <w:rPr>
          <w:rFonts w:ascii="Arial" w:hAnsi="Arial" w:cs="Arial"/>
          <w:sz w:val="20"/>
          <w:szCs w:val="20"/>
          <w:lang w:eastAsia="en-GB" w:bidi="hr-HR"/>
        </w:rPr>
        <w:t xml:space="preserve"> milijuna ili 29 % odraslih osoba (u dobi od 15 do 64 godine) u Europskoj uniji barem jedanput tijekom života probalo nezakonite droge</w:t>
      </w:r>
      <w:r w:rsidR="00F63785">
        <w:rPr>
          <w:rFonts w:ascii="Arial" w:hAnsi="Arial" w:cs="Arial"/>
          <w:sz w:val="20"/>
          <w:szCs w:val="20"/>
          <w:lang w:eastAsia="en-GB" w:bidi="hr-HR"/>
        </w:rPr>
        <w:t>,</w:t>
      </w:r>
      <w:r w:rsidR="00F63785" w:rsidRPr="00F63785">
        <w:rPr>
          <w:rFonts w:ascii="Trivia Sans Book" w:eastAsiaTheme="minorHAnsi" w:hAnsi="Trivia Sans Book" w:cs="Trivia Sans Book"/>
          <w:color w:val="000000"/>
          <w:sz w:val="18"/>
          <w:szCs w:val="18"/>
          <w:lang w:eastAsia="en-US"/>
        </w:rPr>
        <w:t xml:space="preserve"> </w:t>
      </w:r>
      <w:r w:rsidR="00F63785" w:rsidRPr="00F63785">
        <w:rPr>
          <w:rFonts w:ascii="Arial" w:hAnsi="Arial" w:cs="Arial"/>
          <w:sz w:val="20"/>
          <w:szCs w:val="20"/>
          <w:lang w:eastAsia="en-GB" w:bidi="hr-HR"/>
        </w:rPr>
        <w:t>pri čemu je više muškaraca (50,5 milijuna) nego žena (33 milijuna)</w:t>
      </w:r>
      <w:r w:rsidRPr="00D12A01">
        <w:rPr>
          <w:rFonts w:ascii="Arial" w:hAnsi="Arial" w:cs="Arial"/>
          <w:sz w:val="20"/>
          <w:szCs w:val="20"/>
          <w:lang w:eastAsia="en-GB" w:bidi="hr-HR"/>
        </w:rPr>
        <w:t xml:space="preserve">. </w:t>
      </w:r>
    </w:p>
    <w:p w:rsidR="00F63785" w:rsidRDefault="00F63785" w:rsidP="005D3F7C">
      <w:pPr>
        <w:tabs>
          <w:tab w:val="left" w:pos="3670"/>
        </w:tabs>
        <w:jc w:val="both"/>
        <w:rPr>
          <w:rFonts w:ascii="Arial" w:hAnsi="Arial" w:cs="Arial"/>
          <w:sz w:val="20"/>
          <w:szCs w:val="20"/>
          <w:lang w:eastAsia="en-GB" w:bidi="hr-HR"/>
        </w:rPr>
      </w:pPr>
    </w:p>
    <w:p w:rsidR="00BA5893" w:rsidRDefault="00F63785" w:rsidP="005D3F7C">
      <w:pPr>
        <w:tabs>
          <w:tab w:val="left" w:pos="3670"/>
        </w:tabs>
        <w:jc w:val="both"/>
        <w:rPr>
          <w:rFonts w:ascii="Arial" w:hAnsi="Arial" w:cs="Arial"/>
          <w:sz w:val="20"/>
          <w:szCs w:val="20"/>
          <w:lang w:eastAsia="en-GB" w:bidi="hr-HR"/>
        </w:rPr>
      </w:pPr>
      <w:r w:rsidRPr="00F63785">
        <w:rPr>
          <w:rFonts w:ascii="Arial" w:hAnsi="Arial" w:cs="Arial"/>
          <w:sz w:val="20"/>
          <w:szCs w:val="20"/>
          <w:lang w:eastAsia="en-GB" w:bidi="hr-HR"/>
        </w:rPr>
        <w:t xml:space="preserve">Kanabis je i dalje najčešće konzumirana tvar, pri čemu je više od 22 milijuna odraslih Europljana izjavilo da je konzumiralo kanabis u prethodnoj godini. Stimulativne tvari druga su najčešće zabilježena kategorija. Procjenjuje se da je u prošloj godini 3,5 milijuna odraslih osoba konzumiralo kokain, 2,6 milijuna MDMA i 2 milijuna amfetamine. Prošle je godine otprilike 1 milijun Europljana konzumiralo heroin ili neki drugi nezakoniti </w:t>
      </w:r>
      <w:proofErr w:type="spellStart"/>
      <w:r w:rsidRPr="00F63785">
        <w:rPr>
          <w:rFonts w:ascii="Arial" w:hAnsi="Arial" w:cs="Arial"/>
          <w:sz w:val="20"/>
          <w:szCs w:val="20"/>
          <w:lang w:eastAsia="en-GB" w:bidi="hr-HR"/>
        </w:rPr>
        <w:t>opioid</w:t>
      </w:r>
      <w:proofErr w:type="spellEnd"/>
      <w:r w:rsidRPr="00F63785">
        <w:rPr>
          <w:rFonts w:ascii="Arial" w:hAnsi="Arial" w:cs="Arial"/>
          <w:sz w:val="20"/>
          <w:szCs w:val="20"/>
          <w:lang w:eastAsia="en-GB" w:bidi="hr-HR"/>
        </w:rPr>
        <w:t xml:space="preserve">. Iako je </w:t>
      </w:r>
      <w:proofErr w:type="spellStart"/>
      <w:r w:rsidRPr="00F63785">
        <w:rPr>
          <w:rFonts w:ascii="Arial" w:hAnsi="Arial" w:cs="Arial"/>
          <w:sz w:val="20"/>
          <w:szCs w:val="20"/>
          <w:lang w:eastAsia="en-GB" w:bidi="hr-HR"/>
        </w:rPr>
        <w:t>prevalencija</w:t>
      </w:r>
      <w:proofErr w:type="spellEnd"/>
      <w:r w:rsidRPr="00F63785">
        <w:rPr>
          <w:rFonts w:ascii="Arial" w:hAnsi="Arial" w:cs="Arial"/>
          <w:sz w:val="20"/>
          <w:szCs w:val="20"/>
          <w:lang w:eastAsia="en-GB" w:bidi="hr-HR"/>
        </w:rPr>
        <w:t xml:space="preserve"> konzumacije </w:t>
      </w:r>
      <w:proofErr w:type="spellStart"/>
      <w:r w:rsidRPr="00F63785">
        <w:rPr>
          <w:rFonts w:ascii="Arial" w:hAnsi="Arial" w:cs="Arial"/>
          <w:sz w:val="20"/>
          <w:szCs w:val="20"/>
          <w:lang w:eastAsia="en-GB" w:bidi="hr-HR"/>
        </w:rPr>
        <w:t>opioida</w:t>
      </w:r>
      <w:proofErr w:type="spellEnd"/>
      <w:r w:rsidRPr="00F63785">
        <w:rPr>
          <w:rFonts w:ascii="Arial" w:hAnsi="Arial" w:cs="Arial"/>
          <w:sz w:val="20"/>
          <w:szCs w:val="20"/>
          <w:lang w:eastAsia="en-GB" w:bidi="hr-HR"/>
        </w:rPr>
        <w:t xml:space="preserve"> niža nego za druge droge, </w:t>
      </w:r>
      <w:proofErr w:type="spellStart"/>
      <w:r w:rsidRPr="00F63785">
        <w:rPr>
          <w:rFonts w:ascii="Arial" w:hAnsi="Arial" w:cs="Arial"/>
          <w:sz w:val="20"/>
          <w:szCs w:val="20"/>
          <w:lang w:eastAsia="en-GB" w:bidi="hr-HR"/>
        </w:rPr>
        <w:t>opioidi</w:t>
      </w:r>
      <w:proofErr w:type="spellEnd"/>
      <w:r w:rsidRPr="00F63785">
        <w:rPr>
          <w:rFonts w:ascii="Arial" w:hAnsi="Arial" w:cs="Arial"/>
          <w:sz w:val="20"/>
          <w:szCs w:val="20"/>
          <w:lang w:eastAsia="en-GB" w:bidi="hr-HR"/>
        </w:rPr>
        <w:t xml:space="preserve"> i dalje čine najveći udio šteta povezanih s nezakonitom uporabom droga.</w:t>
      </w:r>
    </w:p>
    <w:p w:rsidR="00F63785" w:rsidRDefault="00F63785" w:rsidP="005D3F7C">
      <w:pPr>
        <w:tabs>
          <w:tab w:val="left" w:pos="3670"/>
        </w:tabs>
        <w:jc w:val="both"/>
        <w:rPr>
          <w:rFonts w:ascii="Arial" w:hAnsi="Arial" w:cs="Arial"/>
          <w:sz w:val="20"/>
          <w:szCs w:val="20"/>
          <w:lang w:eastAsia="en-GB" w:bidi="hr-HR"/>
        </w:rPr>
      </w:pPr>
    </w:p>
    <w:p w:rsidR="00BA5893" w:rsidRDefault="0001674C" w:rsidP="005D3F7C">
      <w:pPr>
        <w:tabs>
          <w:tab w:val="left" w:pos="3670"/>
        </w:tabs>
        <w:jc w:val="both"/>
        <w:rPr>
          <w:rFonts w:ascii="Arial" w:hAnsi="Arial" w:cs="Arial"/>
          <w:sz w:val="20"/>
          <w:szCs w:val="20"/>
          <w:lang w:eastAsia="en-GB" w:bidi="hr-HR"/>
        </w:rPr>
      </w:pPr>
      <w:proofErr w:type="spellStart"/>
      <w:r w:rsidRPr="0001674C">
        <w:rPr>
          <w:rFonts w:ascii="Arial" w:hAnsi="Arial" w:cs="Arial"/>
          <w:sz w:val="20"/>
          <w:szCs w:val="20"/>
          <w:lang w:eastAsia="en-GB" w:bidi="hr-HR"/>
        </w:rPr>
        <w:t>Prevalencija</w:t>
      </w:r>
      <w:proofErr w:type="spellEnd"/>
      <w:r w:rsidRPr="0001674C">
        <w:rPr>
          <w:rFonts w:ascii="Arial" w:hAnsi="Arial" w:cs="Arial"/>
          <w:sz w:val="20"/>
          <w:szCs w:val="20"/>
          <w:lang w:eastAsia="en-GB" w:bidi="hr-HR"/>
        </w:rPr>
        <w:t xml:space="preserve"> visokorizične konzumacije </w:t>
      </w:r>
      <w:proofErr w:type="spellStart"/>
      <w:r w:rsidRPr="0001674C">
        <w:rPr>
          <w:rFonts w:ascii="Arial" w:hAnsi="Arial" w:cs="Arial"/>
          <w:sz w:val="20"/>
          <w:szCs w:val="20"/>
          <w:lang w:eastAsia="en-GB" w:bidi="hr-HR"/>
        </w:rPr>
        <w:t>opioida</w:t>
      </w:r>
      <w:proofErr w:type="spellEnd"/>
      <w:r w:rsidRPr="0001674C">
        <w:rPr>
          <w:rFonts w:ascii="Arial" w:hAnsi="Arial" w:cs="Arial"/>
          <w:sz w:val="20"/>
          <w:szCs w:val="20"/>
          <w:lang w:eastAsia="en-GB" w:bidi="hr-HR"/>
        </w:rPr>
        <w:t xml:space="preserve"> među odraslim osobama (15 – 64 godine) procjenjuje se na 0,34 % za odraslu populaciju EU-a, što je jednako broju od 1 milijuna visokorizičnih konzumenata </w:t>
      </w:r>
      <w:proofErr w:type="spellStart"/>
      <w:r w:rsidRPr="0001674C">
        <w:rPr>
          <w:rFonts w:ascii="Arial" w:hAnsi="Arial" w:cs="Arial"/>
          <w:sz w:val="20"/>
          <w:szCs w:val="20"/>
          <w:lang w:eastAsia="en-GB" w:bidi="hr-HR"/>
        </w:rPr>
        <w:t>opioida</w:t>
      </w:r>
      <w:proofErr w:type="spellEnd"/>
      <w:r w:rsidRPr="0001674C">
        <w:rPr>
          <w:rFonts w:ascii="Arial" w:hAnsi="Arial" w:cs="Arial"/>
          <w:sz w:val="20"/>
          <w:szCs w:val="20"/>
          <w:lang w:eastAsia="en-GB" w:bidi="hr-HR"/>
        </w:rPr>
        <w:t xml:space="preserve"> u 2020. godini. U Europskoj je uniji 2020. bilo 514 000 konzumenata uključenih u tretman ovisnosti o opijatima, što upućuje na to da ukupna pokrivenost tretmana iznosi oko 50 %.</w:t>
      </w:r>
    </w:p>
    <w:p w:rsidR="00F63785" w:rsidRDefault="00F63785" w:rsidP="005D3F7C">
      <w:pPr>
        <w:tabs>
          <w:tab w:val="left" w:pos="3670"/>
        </w:tabs>
        <w:jc w:val="both"/>
        <w:rPr>
          <w:rFonts w:ascii="Arial" w:hAnsi="Arial" w:cs="Arial"/>
          <w:sz w:val="20"/>
          <w:szCs w:val="20"/>
          <w:lang w:eastAsia="en-GB" w:bidi="hr-HR"/>
        </w:rPr>
      </w:pPr>
    </w:p>
    <w:p w:rsidR="00BA5893" w:rsidRDefault="00D12A01" w:rsidP="00BA5893">
      <w:pPr>
        <w:tabs>
          <w:tab w:val="left" w:pos="3670"/>
        </w:tabs>
        <w:jc w:val="both"/>
        <w:rPr>
          <w:rFonts w:ascii="Arial" w:hAnsi="Arial" w:cs="Arial"/>
          <w:sz w:val="20"/>
          <w:szCs w:val="20"/>
          <w:lang w:eastAsia="en-GB" w:bidi="hr-HR"/>
        </w:rPr>
      </w:pPr>
      <w:r>
        <w:rPr>
          <w:rFonts w:ascii="Arial" w:hAnsi="Arial" w:cs="Arial"/>
          <w:sz w:val="20"/>
          <w:szCs w:val="20"/>
          <w:lang w:eastAsia="en-GB" w:bidi="hr-HR"/>
        </w:rPr>
        <w:t>Rezultati istraživanja</w:t>
      </w:r>
      <w:r w:rsidR="009F1177">
        <w:rPr>
          <w:rFonts w:ascii="Arial" w:hAnsi="Arial" w:cs="Arial"/>
          <w:sz w:val="20"/>
          <w:szCs w:val="20"/>
          <w:lang w:eastAsia="en-GB" w:bidi="hr-HR"/>
        </w:rPr>
        <w:t xml:space="preserve"> zlouporabe sredstava ovisnosti u Rep</w:t>
      </w:r>
      <w:r>
        <w:rPr>
          <w:rFonts w:ascii="Arial" w:hAnsi="Arial" w:cs="Arial"/>
          <w:sz w:val="20"/>
          <w:szCs w:val="20"/>
          <w:lang w:eastAsia="en-GB" w:bidi="hr-HR"/>
        </w:rPr>
        <w:t xml:space="preserve">ublici Hrvatskoj provedenom 2019. godine pokazuju kako se </w:t>
      </w:r>
      <w:r w:rsidR="00BA5893">
        <w:rPr>
          <w:rFonts w:ascii="Arial" w:hAnsi="Arial" w:cs="Arial"/>
          <w:sz w:val="20"/>
          <w:szCs w:val="20"/>
          <w:lang w:eastAsia="en-GB" w:bidi="hr-HR"/>
        </w:rPr>
        <w:t>b</w:t>
      </w:r>
      <w:r w:rsidRPr="00D12A01">
        <w:rPr>
          <w:rFonts w:ascii="Arial" w:hAnsi="Arial" w:cs="Arial"/>
          <w:sz w:val="20"/>
          <w:szCs w:val="20"/>
          <w:lang w:eastAsia="en-GB" w:bidi="hr-HR"/>
        </w:rPr>
        <w:t>roj odraslih koji su konzumirali neku ilegalnu drogu se između 2011. i 2019. godine udvostručio (porast s 5.3% na 11.2%).</w:t>
      </w:r>
      <w:r w:rsidR="00BA5893">
        <w:rPr>
          <w:rFonts w:ascii="Arial" w:hAnsi="Arial" w:cs="Arial"/>
          <w:sz w:val="20"/>
          <w:szCs w:val="20"/>
          <w:lang w:eastAsia="en-GB" w:bidi="hr-HR"/>
        </w:rPr>
        <w:t xml:space="preserve"> Također, </w:t>
      </w:r>
      <w:proofErr w:type="spellStart"/>
      <w:r w:rsidR="00BA5893">
        <w:rPr>
          <w:rFonts w:ascii="Arial" w:hAnsi="Arial" w:cs="Arial"/>
          <w:sz w:val="20"/>
          <w:szCs w:val="20"/>
          <w:lang w:eastAsia="en-GB" w:bidi="hr-HR"/>
        </w:rPr>
        <w:t>p</w:t>
      </w:r>
      <w:r w:rsidR="00BA5893" w:rsidRPr="00BA5893">
        <w:rPr>
          <w:rFonts w:ascii="Arial" w:hAnsi="Arial" w:cs="Arial"/>
          <w:sz w:val="20"/>
          <w:szCs w:val="20"/>
          <w:lang w:eastAsia="en-GB" w:bidi="hr-HR"/>
        </w:rPr>
        <w:t>revalencija</w:t>
      </w:r>
      <w:proofErr w:type="spellEnd"/>
      <w:r w:rsidR="00BA5893" w:rsidRPr="00BA5893">
        <w:rPr>
          <w:rFonts w:ascii="Arial" w:hAnsi="Arial" w:cs="Arial"/>
          <w:sz w:val="20"/>
          <w:szCs w:val="20"/>
          <w:lang w:eastAsia="en-GB" w:bidi="hr-HR"/>
        </w:rPr>
        <w:t xml:space="preserve"> uporabe bilo koje ilegalne droge u posljednjih godinu dana kod mlađih odraslih pokazuje uzlazan trend između 2011. i 2019. godine (10.7% i 21.3%), odnosno broj mlađih odraslih koji su konzumirali neku ilegalnu drogu udvostručio </w:t>
      </w:r>
      <w:r w:rsidR="00BA5893">
        <w:rPr>
          <w:rFonts w:ascii="Arial" w:hAnsi="Arial" w:cs="Arial"/>
          <w:sz w:val="20"/>
          <w:szCs w:val="20"/>
          <w:lang w:eastAsia="en-GB" w:bidi="hr-HR"/>
        </w:rPr>
        <w:t xml:space="preserve">se između 2011. i 2019. godine. </w:t>
      </w:r>
    </w:p>
    <w:p w:rsidR="00BA5893" w:rsidRDefault="00BA5893" w:rsidP="00BA5893">
      <w:pPr>
        <w:tabs>
          <w:tab w:val="left" w:pos="3670"/>
        </w:tabs>
        <w:jc w:val="both"/>
        <w:rPr>
          <w:rFonts w:ascii="Arial" w:hAnsi="Arial" w:cs="Arial"/>
          <w:sz w:val="20"/>
          <w:szCs w:val="20"/>
          <w:lang w:eastAsia="en-GB" w:bidi="hr-HR"/>
        </w:rPr>
      </w:pPr>
    </w:p>
    <w:p w:rsidR="00BA5893" w:rsidRDefault="00BA5893" w:rsidP="00BA5893">
      <w:pPr>
        <w:tabs>
          <w:tab w:val="left" w:pos="3670"/>
        </w:tabs>
        <w:jc w:val="both"/>
        <w:rPr>
          <w:rFonts w:ascii="Arial" w:hAnsi="Arial" w:cs="Arial"/>
          <w:sz w:val="20"/>
          <w:szCs w:val="20"/>
          <w:lang w:eastAsia="en-GB" w:bidi="hr-HR"/>
        </w:rPr>
      </w:pPr>
      <w:r w:rsidRPr="00BA5893">
        <w:rPr>
          <w:rFonts w:ascii="Arial" w:hAnsi="Arial" w:cs="Arial"/>
          <w:sz w:val="20"/>
          <w:szCs w:val="20"/>
          <w:lang w:eastAsia="en-GB" w:bidi="hr-HR"/>
        </w:rPr>
        <w:t>Konzumacija kanabisa je u 2019. godini bila dvostruko veća i među odraslima i mlađim odraslima u odnosu na 2011. godinu (5% 2011. i 10.2% 2019. kod odraslih i 10.5% 2011. i 20.3% 2019. kod mlađih odraslih).</w:t>
      </w:r>
      <w:r>
        <w:t xml:space="preserve"> </w:t>
      </w:r>
      <w:proofErr w:type="spellStart"/>
      <w:r w:rsidRPr="00BA5893">
        <w:rPr>
          <w:rFonts w:ascii="Arial" w:hAnsi="Arial" w:cs="Arial"/>
          <w:sz w:val="20"/>
          <w:szCs w:val="20"/>
          <w:lang w:eastAsia="en-GB" w:bidi="hr-HR"/>
        </w:rPr>
        <w:t>Prevalencija</w:t>
      </w:r>
      <w:proofErr w:type="spellEnd"/>
      <w:r w:rsidRPr="00BA5893">
        <w:rPr>
          <w:rFonts w:ascii="Arial" w:hAnsi="Arial" w:cs="Arial"/>
          <w:sz w:val="20"/>
          <w:szCs w:val="20"/>
          <w:lang w:eastAsia="en-GB" w:bidi="hr-HR"/>
        </w:rPr>
        <w:t xml:space="preserve"> uzimanja kanabisa u posljednjih godinu dana kod mlađih odraslih pokazuje uzlazan trend između 2011. i 2019. godine (10.5% i 20.3%) – </w:t>
      </w:r>
      <w:proofErr w:type="spellStart"/>
      <w:r w:rsidRPr="00BA5893">
        <w:rPr>
          <w:rFonts w:ascii="Arial" w:hAnsi="Arial" w:cs="Arial"/>
          <w:sz w:val="20"/>
          <w:szCs w:val="20"/>
          <w:lang w:eastAsia="en-GB" w:bidi="hr-HR"/>
        </w:rPr>
        <w:t>prevalencija</w:t>
      </w:r>
      <w:proofErr w:type="spellEnd"/>
      <w:r w:rsidRPr="00BA5893">
        <w:rPr>
          <w:rFonts w:ascii="Arial" w:hAnsi="Arial" w:cs="Arial"/>
          <w:sz w:val="20"/>
          <w:szCs w:val="20"/>
          <w:lang w:eastAsia="en-GB" w:bidi="hr-HR"/>
        </w:rPr>
        <w:t xml:space="preserve"> je 2019. u odnosu na 2011. godinu bila dvostruko veća. Dok je 2011. godine kanabis uzimala svaka deseta mlađa odrasla osoba, u 2019. godini to je činila </w:t>
      </w:r>
      <w:r>
        <w:rPr>
          <w:rFonts w:ascii="Arial" w:hAnsi="Arial" w:cs="Arial"/>
          <w:sz w:val="20"/>
          <w:szCs w:val="20"/>
          <w:lang w:eastAsia="en-GB" w:bidi="hr-HR"/>
        </w:rPr>
        <w:t xml:space="preserve">svaka peta mlađa odrasla osoba. </w:t>
      </w:r>
    </w:p>
    <w:p w:rsidR="00BA5893" w:rsidRDefault="00BA5893" w:rsidP="00BA5893">
      <w:pPr>
        <w:tabs>
          <w:tab w:val="left" w:pos="3670"/>
        </w:tabs>
        <w:jc w:val="both"/>
        <w:rPr>
          <w:rFonts w:ascii="Arial" w:hAnsi="Arial" w:cs="Arial"/>
          <w:sz w:val="20"/>
          <w:szCs w:val="20"/>
          <w:lang w:eastAsia="en-GB" w:bidi="hr-HR"/>
        </w:rPr>
      </w:pPr>
    </w:p>
    <w:p w:rsidR="009F1177" w:rsidRDefault="00BA5893" w:rsidP="00BA5893">
      <w:pPr>
        <w:tabs>
          <w:tab w:val="left" w:pos="3670"/>
        </w:tabs>
        <w:jc w:val="both"/>
        <w:rPr>
          <w:rFonts w:ascii="Arial" w:hAnsi="Arial" w:cs="Arial"/>
          <w:sz w:val="20"/>
          <w:szCs w:val="20"/>
          <w:lang w:eastAsia="en-GB" w:bidi="hr-HR"/>
        </w:rPr>
      </w:pPr>
      <w:r w:rsidRPr="00BA5893">
        <w:rPr>
          <w:rFonts w:ascii="Arial" w:hAnsi="Arial" w:cs="Arial"/>
          <w:sz w:val="20"/>
          <w:szCs w:val="20"/>
          <w:lang w:eastAsia="en-GB" w:bidi="hr-HR"/>
        </w:rPr>
        <w:t>Relativno najveći porast uporabe između 2011. i 2019. godine i među mlađim odraslima i među odraslima u</w:t>
      </w:r>
      <w:r>
        <w:rPr>
          <w:rFonts w:ascii="Arial" w:hAnsi="Arial" w:cs="Arial"/>
          <w:sz w:val="20"/>
          <w:szCs w:val="20"/>
          <w:lang w:eastAsia="en-GB" w:bidi="hr-HR"/>
        </w:rPr>
        <w:t xml:space="preserve">tvrđen je za kokain i </w:t>
      </w:r>
      <w:proofErr w:type="spellStart"/>
      <w:r>
        <w:rPr>
          <w:rFonts w:ascii="Arial" w:hAnsi="Arial" w:cs="Arial"/>
          <w:sz w:val="20"/>
          <w:szCs w:val="20"/>
          <w:lang w:eastAsia="en-GB" w:bidi="hr-HR"/>
        </w:rPr>
        <w:t>ecstasy</w:t>
      </w:r>
      <w:proofErr w:type="spellEnd"/>
      <w:r>
        <w:rPr>
          <w:rFonts w:ascii="Arial" w:hAnsi="Arial" w:cs="Arial"/>
          <w:sz w:val="20"/>
          <w:szCs w:val="20"/>
          <w:lang w:eastAsia="en-GB" w:bidi="hr-HR"/>
        </w:rPr>
        <w:t xml:space="preserve">. </w:t>
      </w:r>
      <w:r w:rsidRPr="00BA5893">
        <w:rPr>
          <w:rFonts w:ascii="Arial" w:hAnsi="Arial" w:cs="Arial"/>
          <w:sz w:val="20"/>
          <w:szCs w:val="20"/>
          <w:lang w:eastAsia="en-GB" w:bidi="hr-HR"/>
        </w:rPr>
        <w:t>Uporaba kokaina u posljednjih godinu dana porasla je za oko 4 puta u 2019. godini u odnosu na 2011. godinu (s 0.5% na 1.9% kod odraslih i s 0.9% na 3.9% kod mlađih odraslih). Dok je kokain u 2011. godini uzimala oko jedna od 100 mlađih odraslih osoba, u 2019. je to činila oko jedna od 25 mlađih odraslih osoba.</w:t>
      </w:r>
    </w:p>
    <w:p w:rsidR="007C4BB8" w:rsidRDefault="007C4BB8" w:rsidP="00BA5893">
      <w:pPr>
        <w:tabs>
          <w:tab w:val="left" w:pos="3670"/>
        </w:tabs>
        <w:jc w:val="both"/>
        <w:rPr>
          <w:rFonts w:ascii="Arial" w:hAnsi="Arial" w:cs="Arial"/>
          <w:sz w:val="20"/>
          <w:szCs w:val="20"/>
          <w:lang w:eastAsia="en-GB" w:bidi="hr-HR"/>
        </w:rPr>
      </w:pPr>
    </w:p>
    <w:p w:rsidR="007C4BB8" w:rsidRDefault="007C4BB8" w:rsidP="00BA5893">
      <w:pPr>
        <w:tabs>
          <w:tab w:val="left" w:pos="3670"/>
        </w:tabs>
        <w:jc w:val="both"/>
        <w:rPr>
          <w:rFonts w:ascii="Arial" w:hAnsi="Arial" w:cs="Arial"/>
          <w:sz w:val="20"/>
          <w:szCs w:val="20"/>
          <w:lang w:eastAsia="en-GB" w:bidi="hr-HR"/>
        </w:rPr>
      </w:pPr>
    </w:p>
    <w:p w:rsidR="007C4BB8" w:rsidRDefault="007C4BB8" w:rsidP="007C4BB8">
      <w:pPr>
        <w:pStyle w:val="Odlomakpopisa"/>
        <w:numPr>
          <w:ilvl w:val="0"/>
          <w:numId w:val="4"/>
        </w:numPr>
        <w:tabs>
          <w:tab w:val="left" w:pos="3670"/>
        </w:tabs>
        <w:jc w:val="both"/>
        <w:rPr>
          <w:rFonts w:ascii="Arial" w:hAnsi="Arial" w:cs="Arial"/>
          <w:sz w:val="20"/>
          <w:szCs w:val="20"/>
          <w:lang w:eastAsia="en-GB" w:bidi="hr-HR"/>
        </w:rPr>
      </w:pPr>
      <w:r w:rsidRPr="007C4BB8">
        <w:rPr>
          <w:rFonts w:ascii="Arial" w:hAnsi="Arial" w:cs="Arial"/>
          <w:sz w:val="20"/>
          <w:szCs w:val="20"/>
          <w:lang w:eastAsia="en-GB" w:bidi="hr-HR"/>
        </w:rPr>
        <w:t xml:space="preserve">Analiza otpadnih voda </w:t>
      </w:r>
    </w:p>
    <w:p w:rsidR="007C4BB8" w:rsidRDefault="007C4BB8" w:rsidP="007C4BB8">
      <w:pPr>
        <w:tabs>
          <w:tab w:val="left" w:pos="3670"/>
        </w:tabs>
        <w:jc w:val="both"/>
        <w:rPr>
          <w:rFonts w:ascii="Arial" w:hAnsi="Arial" w:cs="Arial"/>
          <w:sz w:val="20"/>
          <w:szCs w:val="20"/>
          <w:lang w:eastAsia="en-GB" w:bidi="hr-HR"/>
        </w:rPr>
      </w:pPr>
    </w:p>
    <w:p w:rsidR="007C4BB8" w:rsidRDefault="007C4BB8" w:rsidP="007C4BB8">
      <w:pPr>
        <w:tabs>
          <w:tab w:val="left" w:pos="3670"/>
        </w:tabs>
        <w:jc w:val="both"/>
        <w:rPr>
          <w:rFonts w:ascii="Arial" w:hAnsi="Arial" w:cs="Arial"/>
          <w:sz w:val="20"/>
          <w:szCs w:val="20"/>
          <w:lang w:eastAsia="en-GB" w:bidi="hr-HR"/>
        </w:rPr>
      </w:pPr>
      <w:r w:rsidRPr="007C4BB8">
        <w:rPr>
          <w:rFonts w:ascii="Arial" w:hAnsi="Arial" w:cs="Arial"/>
          <w:sz w:val="20"/>
          <w:szCs w:val="20"/>
          <w:lang w:eastAsia="en-GB" w:bidi="hr-HR"/>
        </w:rPr>
        <w:t>Analiza otpadnih voda predstavlja metodologiju za procjenu potrošnje glavnih tipova droga koja je utemeljena na objektivnim kemijskim mjerenjima koncentracija u uzorcima reprezentativnim za definiranu populaciju.</w:t>
      </w:r>
      <w:r w:rsidRPr="007C4BB8">
        <w:t xml:space="preserve"> </w:t>
      </w:r>
      <w:r w:rsidRPr="007C4BB8">
        <w:rPr>
          <w:rFonts w:ascii="Arial" w:hAnsi="Arial" w:cs="Arial"/>
          <w:sz w:val="20"/>
          <w:szCs w:val="20"/>
          <w:lang w:eastAsia="en-GB" w:bidi="hr-HR"/>
        </w:rPr>
        <w:t>Analize otpadnih voda u Republici Hrvatskoj od 2009. provodi Institut Ruđer Bošković, koji je uključen u SCORE europsku mrežu (</w:t>
      </w:r>
      <w:proofErr w:type="spellStart"/>
      <w:r w:rsidRPr="007C4BB8">
        <w:rPr>
          <w:rFonts w:ascii="Arial" w:hAnsi="Arial" w:cs="Arial"/>
          <w:sz w:val="20"/>
          <w:szCs w:val="20"/>
          <w:lang w:eastAsia="en-GB" w:bidi="hr-HR"/>
        </w:rPr>
        <w:t>Sewage</w:t>
      </w:r>
      <w:proofErr w:type="spellEnd"/>
      <w:r w:rsidRPr="007C4BB8">
        <w:rPr>
          <w:rFonts w:ascii="Arial" w:hAnsi="Arial" w:cs="Arial"/>
          <w:sz w:val="20"/>
          <w:szCs w:val="20"/>
          <w:lang w:eastAsia="en-GB" w:bidi="hr-HR"/>
        </w:rPr>
        <w:t xml:space="preserve"> </w:t>
      </w:r>
      <w:proofErr w:type="spellStart"/>
      <w:r w:rsidRPr="007C4BB8">
        <w:rPr>
          <w:rFonts w:ascii="Arial" w:hAnsi="Arial" w:cs="Arial"/>
          <w:sz w:val="20"/>
          <w:szCs w:val="20"/>
          <w:lang w:eastAsia="en-GB" w:bidi="hr-HR"/>
        </w:rPr>
        <w:t>analysis</w:t>
      </w:r>
      <w:proofErr w:type="spellEnd"/>
      <w:r w:rsidRPr="007C4BB8">
        <w:rPr>
          <w:rFonts w:ascii="Arial" w:hAnsi="Arial" w:cs="Arial"/>
          <w:sz w:val="20"/>
          <w:szCs w:val="20"/>
          <w:lang w:eastAsia="en-GB" w:bidi="hr-HR"/>
        </w:rPr>
        <w:t xml:space="preserve"> </w:t>
      </w:r>
      <w:proofErr w:type="spellStart"/>
      <w:r w:rsidRPr="007C4BB8">
        <w:rPr>
          <w:rFonts w:ascii="Arial" w:hAnsi="Arial" w:cs="Arial"/>
          <w:sz w:val="20"/>
          <w:szCs w:val="20"/>
          <w:lang w:eastAsia="en-GB" w:bidi="hr-HR"/>
        </w:rPr>
        <w:t>CORe</w:t>
      </w:r>
      <w:proofErr w:type="spellEnd"/>
      <w:r w:rsidRPr="007C4BB8">
        <w:rPr>
          <w:rFonts w:ascii="Arial" w:hAnsi="Arial" w:cs="Arial"/>
          <w:sz w:val="20"/>
          <w:szCs w:val="20"/>
          <w:lang w:eastAsia="en-GB" w:bidi="hr-HR"/>
        </w:rPr>
        <w:t xml:space="preserve"> </w:t>
      </w:r>
      <w:proofErr w:type="spellStart"/>
      <w:r w:rsidRPr="007C4BB8">
        <w:rPr>
          <w:rFonts w:ascii="Arial" w:hAnsi="Arial" w:cs="Arial"/>
          <w:sz w:val="20"/>
          <w:szCs w:val="20"/>
          <w:lang w:eastAsia="en-GB" w:bidi="hr-HR"/>
        </w:rPr>
        <w:t>group</w:t>
      </w:r>
      <w:proofErr w:type="spellEnd"/>
      <w:r w:rsidRPr="007C4BB8">
        <w:rPr>
          <w:rFonts w:ascii="Arial" w:hAnsi="Arial" w:cs="Arial"/>
          <w:sz w:val="20"/>
          <w:szCs w:val="20"/>
          <w:lang w:eastAsia="en-GB" w:bidi="hr-HR"/>
        </w:rPr>
        <w:t xml:space="preserve"> — Europe SCORE) koja je nastala s ciljem izrade standardiziranih pristupa analizi otpadnih voda te koordinacije međunarodnih istraživanja kroz izradu zajedničkog protokola djelovanja.</w:t>
      </w:r>
    </w:p>
    <w:p w:rsidR="007C4BB8" w:rsidRDefault="007C4BB8" w:rsidP="007C4BB8">
      <w:pPr>
        <w:tabs>
          <w:tab w:val="left" w:pos="3670"/>
        </w:tabs>
        <w:jc w:val="both"/>
        <w:rPr>
          <w:rFonts w:ascii="Arial" w:hAnsi="Arial" w:cs="Arial"/>
          <w:sz w:val="20"/>
          <w:szCs w:val="20"/>
          <w:lang w:eastAsia="en-GB" w:bidi="hr-HR"/>
        </w:rPr>
      </w:pPr>
    </w:p>
    <w:p w:rsidR="006E7608" w:rsidRPr="006E7608" w:rsidRDefault="006E7608" w:rsidP="006E7608">
      <w:pPr>
        <w:tabs>
          <w:tab w:val="left" w:pos="3670"/>
        </w:tabs>
        <w:jc w:val="both"/>
        <w:rPr>
          <w:rFonts w:ascii="Arial" w:hAnsi="Arial" w:cs="Arial"/>
          <w:sz w:val="20"/>
          <w:szCs w:val="20"/>
          <w:lang w:eastAsia="en-GB" w:bidi="hr-HR"/>
        </w:rPr>
      </w:pPr>
      <w:r w:rsidRPr="006E7608">
        <w:rPr>
          <w:rFonts w:ascii="Arial" w:hAnsi="Arial" w:cs="Arial"/>
          <w:sz w:val="20"/>
          <w:szCs w:val="20"/>
          <w:lang w:eastAsia="en-GB" w:bidi="hr-HR"/>
        </w:rPr>
        <w:t xml:space="preserve">Nastavno na iskustvo iz 2020. godine uslijed COVID-19 </w:t>
      </w:r>
      <w:proofErr w:type="spellStart"/>
      <w:r w:rsidRPr="006E7608">
        <w:rPr>
          <w:rFonts w:ascii="Arial" w:hAnsi="Arial" w:cs="Arial"/>
          <w:sz w:val="20"/>
          <w:szCs w:val="20"/>
          <w:lang w:eastAsia="en-GB" w:bidi="hr-HR"/>
        </w:rPr>
        <w:t>pandemije</w:t>
      </w:r>
      <w:proofErr w:type="spellEnd"/>
      <w:r w:rsidRPr="006E7608">
        <w:rPr>
          <w:rFonts w:ascii="Arial" w:hAnsi="Arial" w:cs="Arial"/>
          <w:sz w:val="20"/>
          <w:szCs w:val="20"/>
          <w:lang w:eastAsia="en-GB" w:bidi="hr-HR"/>
        </w:rPr>
        <w:t>, u 2021. godini praćenje otpadnih voda u 24-satnim kompozitnim uzorcima provodilo se tijekom jednog tjedna između ožujka i svibnja (</w:t>
      </w:r>
      <w:r w:rsidRPr="006E7608">
        <w:rPr>
          <w:rFonts w:ascii="Arial" w:hAnsi="Arial" w:cs="Arial"/>
          <w:i/>
          <w:iCs/>
          <w:sz w:val="20"/>
          <w:szCs w:val="20"/>
          <w:lang w:eastAsia="en-GB" w:bidi="hr-HR"/>
        </w:rPr>
        <w:t>prethodnih godina uzroci su se prikupljali samo tijekom ožujka</w:t>
      </w:r>
      <w:r w:rsidRPr="006E7608">
        <w:rPr>
          <w:rFonts w:ascii="Arial" w:hAnsi="Arial" w:cs="Arial"/>
          <w:sz w:val="20"/>
          <w:szCs w:val="20"/>
          <w:lang w:eastAsia="en-GB" w:bidi="hr-HR"/>
        </w:rPr>
        <w:t xml:space="preserve">) pri čemu su analizirani urinarni </w:t>
      </w:r>
      <w:proofErr w:type="spellStart"/>
      <w:r w:rsidRPr="006E7608">
        <w:rPr>
          <w:rFonts w:ascii="Arial" w:hAnsi="Arial" w:cs="Arial"/>
          <w:sz w:val="20"/>
          <w:szCs w:val="20"/>
          <w:lang w:eastAsia="en-GB" w:bidi="hr-HR"/>
        </w:rPr>
        <w:t>biomarkeri</w:t>
      </w:r>
      <w:proofErr w:type="spellEnd"/>
      <w:r w:rsidRPr="006E7608">
        <w:rPr>
          <w:rFonts w:ascii="Arial" w:hAnsi="Arial" w:cs="Arial"/>
          <w:sz w:val="20"/>
          <w:szCs w:val="20"/>
          <w:lang w:eastAsia="en-GB" w:bidi="hr-HR"/>
        </w:rPr>
        <w:t xml:space="preserve"> glavne supstance za amfetamin, </w:t>
      </w:r>
      <w:proofErr w:type="spellStart"/>
      <w:r w:rsidRPr="006E7608">
        <w:rPr>
          <w:rFonts w:ascii="Arial" w:hAnsi="Arial" w:cs="Arial"/>
          <w:sz w:val="20"/>
          <w:szCs w:val="20"/>
          <w:lang w:eastAsia="en-GB" w:bidi="hr-HR"/>
        </w:rPr>
        <w:t>metamfetamin</w:t>
      </w:r>
      <w:proofErr w:type="spellEnd"/>
      <w:r w:rsidRPr="006E7608">
        <w:rPr>
          <w:rFonts w:ascii="Arial" w:hAnsi="Arial" w:cs="Arial"/>
          <w:sz w:val="20"/>
          <w:szCs w:val="20"/>
          <w:lang w:eastAsia="en-GB" w:bidi="hr-HR"/>
        </w:rPr>
        <w:t xml:space="preserve"> i MDMA. Osim toga, analizirani su glavni metaboliti kokaina i kanabisa, </w:t>
      </w:r>
      <w:proofErr w:type="spellStart"/>
      <w:r w:rsidRPr="006E7608">
        <w:rPr>
          <w:rFonts w:ascii="Arial" w:hAnsi="Arial" w:cs="Arial"/>
          <w:sz w:val="20"/>
          <w:szCs w:val="20"/>
          <w:lang w:eastAsia="en-GB" w:bidi="hr-HR"/>
        </w:rPr>
        <w:t>benzoilegonin</w:t>
      </w:r>
      <w:proofErr w:type="spellEnd"/>
      <w:r w:rsidRPr="006E7608">
        <w:rPr>
          <w:rFonts w:ascii="Arial" w:hAnsi="Arial" w:cs="Arial"/>
          <w:sz w:val="20"/>
          <w:szCs w:val="20"/>
          <w:lang w:eastAsia="en-GB" w:bidi="hr-HR"/>
        </w:rPr>
        <w:t xml:space="preserve"> (BE) i THC-COOH (11-nor-9-karboksi-delta9-tetrahidrokanabinol). Specifičan metabolit heroina pokazao se nestabilnim u otpadnim vodama. U istraživanju je tijekom 2021. godine  sudjelovalo 75 gradova iz 23 države EU te Norveške i Turske.</w:t>
      </w:r>
    </w:p>
    <w:p w:rsidR="007C4BB8" w:rsidRDefault="007C4BB8" w:rsidP="007C4BB8">
      <w:pPr>
        <w:tabs>
          <w:tab w:val="left" w:pos="3670"/>
        </w:tabs>
        <w:jc w:val="both"/>
        <w:rPr>
          <w:rFonts w:ascii="Arial" w:hAnsi="Arial" w:cs="Arial"/>
          <w:sz w:val="20"/>
          <w:szCs w:val="20"/>
          <w:lang w:eastAsia="en-GB" w:bidi="hr-HR"/>
        </w:rPr>
      </w:pPr>
    </w:p>
    <w:p w:rsidR="006E7608" w:rsidRPr="006E7608" w:rsidRDefault="006E7608" w:rsidP="006E7608">
      <w:pPr>
        <w:tabs>
          <w:tab w:val="left" w:pos="3670"/>
        </w:tabs>
        <w:jc w:val="both"/>
        <w:rPr>
          <w:rFonts w:ascii="Arial" w:hAnsi="Arial" w:cs="Arial"/>
          <w:sz w:val="20"/>
          <w:szCs w:val="20"/>
          <w:lang w:eastAsia="en-GB" w:bidi="hr-HR"/>
        </w:rPr>
      </w:pPr>
      <w:r w:rsidRPr="006E7608">
        <w:rPr>
          <w:rFonts w:ascii="Arial" w:hAnsi="Arial" w:cs="Arial"/>
          <w:sz w:val="20"/>
          <w:szCs w:val="20"/>
          <w:lang w:eastAsia="en-GB" w:bidi="hr-HR"/>
        </w:rPr>
        <w:t xml:space="preserve">Uporaba kokaina je i dalje najviša u gradovima zapadnih i južnih europskih država, dok je niža na istoku Europe s naznakom povećanja potrošnje. Prema nedavno provedenom europskom projektu o otpadnim vodama - EUSEME pronađeni su ostaci </w:t>
      </w:r>
      <w:proofErr w:type="spellStart"/>
      <w:r w:rsidRPr="006E7608">
        <w:rPr>
          <w:rFonts w:ascii="Arial" w:hAnsi="Arial" w:cs="Arial"/>
          <w:sz w:val="20"/>
          <w:szCs w:val="20"/>
          <w:lang w:eastAsia="en-GB" w:bidi="hr-HR"/>
        </w:rPr>
        <w:t>crack</w:t>
      </w:r>
      <w:proofErr w:type="spellEnd"/>
      <w:r w:rsidRPr="006E7608">
        <w:rPr>
          <w:rFonts w:ascii="Arial" w:hAnsi="Arial" w:cs="Arial"/>
          <w:sz w:val="20"/>
          <w:szCs w:val="20"/>
          <w:lang w:eastAsia="en-GB" w:bidi="hr-HR"/>
        </w:rPr>
        <w:t xml:space="preserve"> kokaina u svih 13 gradova koji su sudjelovali u istraživanju i za sve dane uzorkovanja, a najveća potrošnja zabilježena je u Amsterdamu (</w:t>
      </w:r>
      <w:r w:rsidRPr="006E7608">
        <w:rPr>
          <w:rFonts w:ascii="Arial" w:hAnsi="Arial" w:cs="Arial"/>
          <w:i/>
          <w:iCs/>
          <w:sz w:val="20"/>
          <w:szCs w:val="20"/>
          <w:lang w:eastAsia="en-GB" w:bidi="hr-HR"/>
        </w:rPr>
        <w:t>Nizozemska</w:t>
      </w:r>
      <w:r w:rsidRPr="006E7608">
        <w:rPr>
          <w:rFonts w:ascii="Arial" w:hAnsi="Arial" w:cs="Arial"/>
          <w:sz w:val="20"/>
          <w:szCs w:val="20"/>
          <w:lang w:eastAsia="en-GB" w:bidi="hr-HR"/>
        </w:rPr>
        <w:t xml:space="preserve">) i </w:t>
      </w:r>
      <w:proofErr w:type="spellStart"/>
      <w:r w:rsidRPr="006E7608">
        <w:rPr>
          <w:rFonts w:ascii="Arial" w:hAnsi="Arial" w:cs="Arial"/>
          <w:sz w:val="20"/>
          <w:szCs w:val="20"/>
          <w:lang w:eastAsia="en-GB" w:bidi="hr-HR"/>
        </w:rPr>
        <w:t>Antwerpenu</w:t>
      </w:r>
      <w:proofErr w:type="spellEnd"/>
      <w:r w:rsidRPr="006E7608">
        <w:rPr>
          <w:rFonts w:ascii="Arial" w:hAnsi="Arial" w:cs="Arial"/>
          <w:sz w:val="20"/>
          <w:szCs w:val="20"/>
          <w:lang w:eastAsia="en-GB" w:bidi="hr-HR"/>
        </w:rPr>
        <w:t xml:space="preserve"> (</w:t>
      </w:r>
      <w:r w:rsidRPr="006E7608">
        <w:rPr>
          <w:rFonts w:ascii="Arial" w:hAnsi="Arial" w:cs="Arial"/>
          <w:i/>
          <w:iCs/>
          <w:sz w:val="20"/>
          <w:szCs w:val="20"/>
          <w:lang w:eastAsia="en-GB" w:bidi="hr-HR"/>
        </w:rPr>
        <w:t>Belgija</w:t>
      </w:r>
      <w:r w:rsidRPr="006E7608">
        <w:rPr>
          <w:rFonts w:ascii="Arial" w:hAnsi="Arial" w:cs="Arial"/>
          <w:sz w:val="20"/>
          <w:szCs w:val="20"/>
          <w:lang w:eastAsia="en-GB" w:bidi="hr-HR"/>
        </w:rPr>
        <w:t>).</w:t>
      </w:r>
      <w:r>
        <w:rPr>
          <w:rFonts w:ascii="Arial" w:hAnsi="Arial" w:cs="Arial"/>
          <w:sz w:val="20"/>
          <w:szCs w:val="20"/>
          <w:lang w:eastAsia="en-GB" w:bidi="hr-HR"/>
        </w:rPr>
        <w:t xml:space="preserve"> </w:t>
      </w:r>
      <w:r w:rsidRPr="006E7608">
        <w:rPr>
          <w:rFonts w:ascii="Arial" w:hAnsi="Arial" w:cs="Arial"/>
          <w:sz w:val="20"/>
          <w:szCs w:val="20"/>
          <w:lang w:eastAsia="en-GB" w:bidi="hr-HR"/>
        </w:rPr>
        <w:t xml:space="preserve">Na najveću potrošnju amfetamina ukazuju analize otpadnih voda u sjevernoj i istočnoj Europi </w:t>
      </w:r>
      <w:r w:rsidRPr="006E7608">
        <w:rPr>
          <w:rFonts w:ascii="Arial" w:hAnsi="Arial" w:cs="Arial"/>
          <w:i/>
          <w:iCs/>
          <w:sz w:val="20"/>
          <w:szCs w:val="20"/>
          <w:lang w:eastAsia="en-GB" w:bidi="hr-HR"/>
        </w:rPr>
        <w:t>(posebno Švedska, Belgija, Nizozemska i Finska</w:t>
      </w:r>
      <w:r w:rsidRPr="006E7608">
        <w:rPr>
          <w:rFonts w:ascii="Arial" w:hAnsi="Arial" w:cs="Arial"/>
          <w:sz w:val="20"/>
          <w:szCs w:val="20"/>
          <w:lang w:eastAsia="en-GB" w:bidi="hr-HR"/>
        </w:rPr>
        <w:t xml:space="preserve">) kao i prethodnih godina dok su znatno niže razine zabilježene na  jugu Europe. </w:t>
      </w:r>
      <w:r>
        <w:rPr>
          <w:rFonts w:ascii="Arial" w:hAnsi="Arial" w:cs="Arial"/>
          <w:sz w:val="20"/>
          <w:szCs w:val="20"/>
          <w:lang w:eastAsia="en-GB" w:bidi="hr-HR"/>
        </w:rPr>
        <w:t xml:space="preserve"> </w:t>
      </w:r>
      <w:r w:rsidRPr="006E7608">
        <w:rPr>
          <w:rFonts w:ascii="Arial" w:hAnsi="Arial" w:cs="Arial"/>
          <w:sz w:val="20"/>
          <w:szCs w:val="20"/>
          <w:lang w:eastAsia="en-GB" w:bidi="hr-HR"/>
        </w:rPr>
        <w:t xml:space="preserve">Općenito niska uporaba </w:t>
      </w:r>
      <w:proofErr w:type="spellStart"/>
      <w:r w:rsidRPr="006E7608">
        <w:rPr>
          <w:rFonts w:ascii="Arial" w:hAnsi="Arial" w:cs="Arial"/>
          <w:sz w:val="20"/>
          <w:szCs w:val="20"/>
          <w:lang w:eastAsia="en-GB" w:bidi="hr-HR"/>
        </w:rPr>
        <w:t>metamfetamina</w:t>
      </w:r>
      <w:proofErr w:type="spellEnd"/>
      <w:r w:rsidRPr="006E7608">
        <w:rPr>
          <w:rFonts w:ascii="Arial" w:hAnsi="Arial" w:cs="Arial"/>
          <w:sz w:val="20"/>
          <w:szCs w:val="20"/>
          <w:lang w:eastAsia="en-GB" w:bidi="hr-HR"/>
        </w:rPr>
        <w:t xml:space="preserve">, koja je godinama koncentrirana pretežno u Češkoj i Slovačkoj, sada je zabilježena i u Belgiji, istočnoj Njemačkoj, Španjolskoj, Turskoj i sjevernoj Europi. Prisutnost </w:t>
      </w:r>
      <w:proofErr w:type="spellStart"/>
      <w:r w:rsidRPr="006E7608">
        <w:rPr>
          <w:rFonts w:ascii="Arial" w:hAnsi="Arial" w:cs="Arial"/>
          <w:sz w:val="20"/>
          <w:szCs w:val="20"/>
          <w:lang w:eastAsia="en-GB" w:bidi="hr-HR"/>
        </w:rPr>
        <w:t>biomarkera</w:t>
      </w:r>
      <w:proofErr w:type="spellEnd"/>
      <w:r w:rsidRPr="006E7608">
        <w:rPr>
          <w:rFonts w:ascii="Arial" w:hAnsi="Arial" w:cs="Arial"/>
          <w:sz w:val="20"/>
          <w:szCs w:val="20"/>
          <w:lang w:eastAsia="en-GB" w:bidi="hr-HR"/>
        </w:rPr>
        <w:t xml:space="preserve"> MDMA najviša je u gradovima Belgije, Njemačke, Nizozemske, Švedske i Norveške.</w:t>
      </w:r>
      <w:r>
        <w:rPr>
          <w:rFonts w:ascii="Arial" w:hAnsi="Arial" w:cs="Arial"/>
          <w:sz w:val="20"/>
          <w:szCs w:val="20"/>
          <w:lang w:eastAsia="en-GB" w:bidi="hr-HR"/>
        </w:rPr>
        <w:t xml:space="preserve"> </w:t>
      </w:r>
      <w:r w:rsidRPr="006E7608">
        <w:rPr>
          <w:rFonts w:ascii="Arial" w:hAnsi="Arial" w:cs="Arial"/>
          <w:sz w:val="20"/>
          <w:szCs w:val="20"/>
          <w:lang w:eastAsia="en-GB" w:bidi="hr-HR"/>
        </w:rPr>
        <w:t>Najveća masovna opterećenja metabolita kanabisa THC-COOH pronađena su u otpadnim vodama gradova u Hrvatskoj, Španjolskoj, Nizozemskoj i Sloveniji. Potrošnja kanabisa tijekom tjedna se čini relativno stabilnom, uz vrlo mala odstupanja odnosno povećanje subotom, ponedjeljkom i utorkom (</w:t>
      </w:r>
      <w:r w:rsidRPr="006E7608">
        <w:rPr>
          <w:rFonts w:ascii="Arial" w:hAnsi="Arial" w:cs="Arial"/>
          <w:i/>
          <w:iCs/>
          <w:sz w:val="20"/>
          <w:szCs w:val="20"/>
          <w:lang w:eastAsia="en-GB" w:bidi="hr-HR"/>
        </w:rPr>
        <w:t>odraz konzumacije tijekom vikenda</w:t>
      </w:r>
      <w:r w:rsidRPr="006E7608">
        <w:rPr>
          <w:rFonts w:ascii="Arial" w:hAnsi="Arial" w:cs="Arial"/>
          <w:sz w:val="20"/>
          <w:szCs w:val="20"/>
          <w:lang w:eastAsia="en-GB" w:bidi="hr-HR"/>
        </w:rPr>
        <w:t>).</w:t>
      </w:r>
      <w:r>
        <w:rPr>
          <w:rFonts w:ascii="Arial" w:hAnsi="Arial" w:cs="Arial"/>
          <w:sz w:val="20"/>
          <w:szCs w:val="20"/>
          <w:lang w:eastAsia="en-GB" w:bidi="hr-HR"/>
        </w:rPr>
        <w:t xml:space="preserve"> </w:t>
      </w:r>
      <w:r w:rsidRPr="006E7608">
        <w:rPr>
          <w:rFonts w:ascii="Arial" w:hAnsi="Arial" w:cs="Arial"/>
          <w:sz w:val="20"/>
          <w:szCs w:val="20"/>
          <w:lang w:eastAsia="en-GB" w:bidi="hr-HR"/>
        </w:rPr>
        <w:t xml:space="preserve">Čini se da su </w:t>
      </w:r>
      <w:proofErr w:type="spellStart"/>
      <w:r w:rsidRPr="006E7608">
        <w:rPr>
          <w:rFonts w:ascii="Arial" w:hAnsi="Arial" w:cs="Arial"/>
          <w:sz w:val="20"/>
          <w:szCs w:val="20"/>
          <w:lang w:eastAsia="en-GB" w:bidi="hr-HR"/>
        </w:rPr>
        <w:t>lockdowni</w:t>
      </w:r>
      <w:proofErr w:type="spellEnd"/>
      <w:r w:rsidRPr="006E7608">
        <w:rPr>
          <w:rFonts w:ascii="Arial" w:hAnsi="Arial" w:cs="Arial"/>
          <w:sz w:val="20"/>
          <w:szCs w:val="20"/>
          <w:lang w:eastAsia="en-GB" w:bidi="hr-HR"/>
        </w:rPr>
        <w:t xml:space="preserve"> zbog </w:t>
      </w:r>
      <w:proofErr w:type="spellStart"/>
      <w:r w:rsidRPr="006E7608">
        <w:rPr>
          <w:rFonts w:ascii="Arial" w:hAnsi="Arial" w:cs="Arial"/>
          <w:sz w:val="20"/>
          <w:szCs w:val="20"/>
          <w:lang w:eastAsia="en-GB" w:bidi="hr-HR"/>
        </w:rPr>
        <w:t>pandemije</w:t>
      </w:r>
      <w:proofErr w:type="spellEnd"/>
      <w:r w:rsidRPr="006E7608">
        <w:rPr>
          <w:rFonts w:ascii="Arial" w:hAnsi="Arial" w:cs="Arial"/>
          <w:sz w:val="20"/>
          <w:szCs w:val="20"/>
          <w:lang w:eastAsia="en-GB" w:bidi="hr-HR"/>
        </w:rPr>
        <w:t xml:space="preserve"> COVID-19 imali najmanje utjecaja na razinu potrošnje te vrste droge.</w:t>
      </w:r>
    </w:p>
    <w:p w:rsidR="006E7608" w:rsidRDefault="006E7608" w:rsidP="007C4BB8">
      <w:pPr>
        <w:tabs>
          <w:tab w:val="left" w:pos="3670"/>
        </w:tabs>
        <w:jc w:val="both"/>
        <w:rPr>
          <w:rFonts w:ascii="Arial" w:hAnsi="Arial" w:cs="Arial"/>
          <w:sz w:val="20"/>
          <w:szCs w:val="20"/>
          <w:lang w:eastAsia="en-GB" w:bidi="hr-HR"/>
        </w:rPr>
      </w:pPr>
    </w:p>
    <w:p w:rsidR="006E7608" w:rsidRDefault="006E7608" w:rsidP="006E7608">
      <w:pPr>
        <w:tabs>
          <w:tab w:val="left" w:pos="3670"/>
        </w:tabs>
        <w:jc w:val="both"/>
        <w:rPr>
          <w:rFonts w:ascii="Arial" w:hAnsi="Arial" w:cs="Arial"/>
          <w:sz w:val="20"/>
          <w:szCs w:val="20"/>
          <w:lang w:eastAsia="en-GB" w:bidi="hr-HR"/>
        </w:rPr>
      </w:pPr>
      <w:r w:rsidRPr="006E7608">
        <w:rPr>
          <w:rFonts w:ascii="Arial" w:hAnsi="Arial" w:cs="Arial"/>
          <w:sz w:val="20"/>
          <w:szCs w:val="20"/>
          <w:lang w:eastAsia="en-GB" w:bidi="hr-HR"/>
        </w:rPr>
        <w:t>Tijekom zadnjih 10 godina Zagreb bilježi uzlazni trend razine urinarnih metabolita kokaina (</w:t>
      </w:r>
      <w:r w:rsidRPr="006E7608">
        <w:rPr>
          <w:rFonts w:ascii="Arial" w:hAnsi="Arial" w:cs="Arial"/>
          <w:iCs/>
          <w:sz w:val="20"/>
          <w:szCs w:val="20"/>
          <w:lang w:eastAsia="en-GB" w:bidi="hr-HR"/>
        </w:rPr>
        <w:t>548.62 mg/1000 stanovnika po danu</w:t>
      </w:r>
      <w:r w:rsidRPr="006E7608">
        <w:rPr>
          <w:rFonts w:ascii="Arial" w:hAnsi="Arial" w:cs="Arial"/>
          <w:sz w:val="20"/>
          <w:szCs w:val="20"/>
          <w:lang w:eastAsia="en-GB" w:bidi="hr-HR"/>
        </w:rPr>
        <w:t>), s najvišom razinom zabilježenom u subotu (</w:t>
      </w:r>
      <w:r w:rsidRPr="006E7608">
        <w:rPr>
          <w:rFonts w:ascii="Arial" w:hAnsi="Arial" w:cs="Arial"/>
          <w:iCs/>
          <w:sz w:val="20"/>
          <w:szCs w:val="20"/>
          <w:lang w:eastAsia="en-GB" w:bidi="hr-HR"/>
        </w:rPr>
        <w:t>745.92 mg/1000 stanovnika po danu</w:t>
      </w:r>
      <w:r w:rsidRPr="006E7608">
        <w:rPr>
          <w:rFonts w:ascii="Arial" w:hAnsi="Arial" w:cs="Arial"/>
          <w:sz w:val="20"/>
          <w:szCs w:val="20"/>
          <w:lang w:eastAsia="en-GB" w:bidi="hr-HR"/>
        </w:rPr>
        <w:t xml:space="preserve">) ako promatramo tjedno izlučivanje u 2021. godini. Gledajući desetogodišnji trend izlučivanja urinarnih </w:t>
      </w:r>
      <w:proofErr w:type="spellStart"/>
      <w:r w:rsidRPr="006E7608">
        <w:rPr>
          <w:rFonts w:ascii="Arial" w:hAnsi="Arial" w:cs="Arial"/>
          <w:sz w:val="20"/>
          <w:szCs w:val="20"/>
          <w:lang w:eastAsia="en-GB" w:bidi="hr-HR"/>
        </w:rPr>
        <w:t>biomarkera</w:t>
      </w:r>
      <w:proofErr w:type="spellEnd"/>
      <w:r w:rsidRPr="006E7608">
        <w:rPr>
          <w:rFonts w:ascii="Arial" w:hAnsi="Arial" w:cs="Arial"/>
          <w:sz w:val="20"/>
          <w:szCs w:val="20"/>
          <w:lang w:eastAsia="en-GB" w:bidi="hr-HR"/>
        </w:rPr>
        <w:t xml:space="preserve"> kanabisa, nakon uzlaznog trenda koji je kulminirao 2020. godine (</w:t>
      </w:r>
      <w:r w:rsidRPr="006E7608">
        <w:rPr>
          <w:rFonts w:ascii="Arial" w:hAnsi="Arial" w:cs="Arial"/>
          <w:iCs/>
          <w:sz w:val="20"/>
          <w:szCs w:val="20"/>
          <w:lang w:eastAsia="en-GB" w:bidi="hr-HR"/>
        </w:rPr>
        <w:t>228.93 mg/1000 stanovnika po danu</w:t>
      </w:r>
      <w:r w:rsidRPr="006E7608">
        <w:rPr>
          <w:rFonts w:ascii="Arial" w:hAnsi="Arial" w:cs="Arial"/>
          <w:sz w:val="20"/>
          <w:szCs w:val="20"/>
          <w:lang w:eastAsia="en-GB" w:bidi="hr-HR"/>
        </w:rPr>
        <w:t>), u 2021. godini se bilježi pad (</w:t>
      </w:r>
      <w:r w:rsidRPr="006E7608">
        <w:rPr>
          <w:rFonts w:ascii="Arial" w:hAnsi="Arial" w:cs="Arial"/>
          <w:iCs/>
          <w:sz w:val="20"/>
          <w:szCs w:val="20"/>
          <w:lang w:eastAsia="en-GB" w:bidi="hr-HR"/>
        </w:rPr>
        <w:t>132.9 mg/1000 stanovnika po danu</w:t>
      </w:r>
      <w:r w:rsidRPr="006E7608">
        <w:rPr>
          <w:rFonts w:ascii="Arial" w:hAnsi="Arial" w:cs="Arial"/>
          <w:sz w:val="20"/>
          <w:szCs w:val="20"/>
          <w:lang w:eastAsia="en-GB" w:bidi="hr-HR"/>
        </w:rPr>
        <w:t>).</w:t>
      </w:r>
      <w:r>
        <w:rPr>
          <w:rFonts w:ascii="Arial" w:hAnsi="Arial" w:cs="Arial"/>
          <w:sz w:val="20"/>
          <w:szCs w:val="20"/>
          <w:lang w:eastAsia="en-GB" w:bidi="hr-HR"/>
        </w:rPr>
        <w:t xml:space="preserve"> Zagreb je u 2021. godini bio</w:t>
      </w:r>
      <w:r w:rsidRPr="006E7608">
        <w:t xml:space="preserve"> </w:t>
      </w:r>
      <w:r w:rsidRPr="006E7608">
        <w:rPr>
          <w:rFonts w:ascii="Arial" w:hAnsi="Arial" w:cs="Arial"/>
          <w:sz w:val="20"/>
          <w:szCs w:val="20"/>
          <w:lang w:eastAsia="en-GB" w:bidi="hr-HR"/>
        </w:rPr>
        <w:t>4. grad u Europi po potrošnji kanabisa vikendom</w:t>
      </w:r>
      <w:r>
        <w:rPr>
          <w:rFonts w:ascii="Arial" w:hAnsi="Arial" w:cs="Arial"/>
          <w:sz w:val="20"/>
          <w:szCs w:val="20"/>
          <w:lang w:eastAsia="en-GB" w:bidi="hr-HR"/>
        </w:rPr>
        <w:t xml:space="preserve"> i 5. po potrošnji te droge radnim danom.</w:t>
      </w:r>
    </w:p>
    <w:p w:rsidR="006E7608" w:rsidRDefault="006E7608" w:rsidP="006E7608">
      <w:pPr>
        <w:tabs>
          <w:tab w:val="left" w:pos="3670"/>
        </w:tabs>
        <w:jc w:val="both"/>
        <w:rPr>
          <w:rFonts w:ascii="Arial" w:hAnsi="Arial" w:cs="Arial"/>
          <w:sz w:val="20"/>
          <w:szCs w:val="20"/>
          <w:lang w:eastAsia="en-GB" w:bidi="hr-HR"/>
        </w:rPr>
      </w:pPr>
    </w:p>
    <w:p w:rsidR="006E7608" w:rsidRPr="006E7608" w:rsidRDefault="006E7608" w:rsidP="006E7608">
      <w:pPr>
        <w:tabs>
          <w:tab w:val="left" w:pos="3670"/>
        </w:tabs>
        <w:jc w:val="both"/>
        <w:rPr>
          <w:rFonts w:ascii="Arial" w:hAnsi="Arial" w:cs="Arial"/>
          <w:sz w:val="20"/>
          <w:szCs w:val="20"/>
          <w:lang w:eastAsia="en-GB" w:bidi="hr-HR"/>
        </w:rPr>
      </w:pPr>
      <w:r w:rsidRPr="006E7608">
        <w:rPr>
          <w:rFonts w:ascii="Arial" w:hAnsi="Arial" w:cs="Arial"/>
          <w:sz w:val="20"/>
          <w:szCs w:val="20"/>
          <w:lang w:eastAsia="en-GB" w:bidi="hr-HR"/>
        </w:rPr>
        <w:t>Zabilježen je pad potrošnje amfetamina u odnosu na 2020. godinu, na približnu razinu iz 2019. godine (</w:t>
      </w:r>
      <w:r w:rsidRPr="006E7608">
        <w:rPr>
          <w:rFonts w:ascii="Arial" w:hAnsi="Arial" w:cs="Arial"/>
          <w:iCs/>
          <w:sz w:val="20"/>
          <w:szCs w:val="20"/>
          <w:lang w:eastAsia="en-GB" w:bidi="hr-HR"/>
        </w:rPr>
        <w:t>151.41 mg/1000 stanovnika po danu</w:t>
      </w:r>
      <w:r w:rsidRPr="006E7608">
        <w:rPr>
          <w:rFonts w:ascii="Arial" w:hAnsi="Arial" w:cs="Arial"/>
          <w:sz w:val="20"/>
          <w:szCs w:val="20"/>
          <w:lang w:eastAsia="en-GB" w:bidi="hr-HR"/>
        </w:rPr>
        <w:t xml:space="preserve">). U odnosu na uporabu </w:t>
      </w:r>
      <w:proofErr w:type="spellStart"/>
      <w:r w:rsidRPr="006E7608">
        <w:rPr>
          <w:rFonts w:ascii="Arial" w:hAnsi="Arial" w:cs="Arial"/>
          <w:sz w:val="20"/>
          <w:szCs w:val="20"/>
          <w:lang w:eastAsia="en-GB" w:bidi="hr-HR"/>
        </w:rPr>
        <w:t>metamfetamina</w:t>
      </w:r>
      <w:proofErr w:type="spellEnd"/>
      <w:r w:rsidRPr="006E7608">
        <w:rPr>
          <w:rFonts w:ascii="Arial" w:hAnsi="Arial" w:cs="Arial"/>
          <w:sz w:val="20"/>
          <w:szCs w:val="20"/>
          <w:lang w:eastAsia="en-GB" w:bidi="hr-HR"/>
        </w:rPr>
        <w:t>, za Zagreb su podatci dostupni samo za 2014. i 2020. godinu (</w:t>
      </w:r>
      <w:r w:rsidRPr="006E7608">
        <w:rPr>
          <w:rFonts w:ascii="Arial" w:hAnsi="Arial" w:cs="Arial"/>
          <w:iCs/>
          <w:sz w:val="20"/>
          <w:szCs w:val="20"/>
          <w:lang w:eastAsia="en-GB" w:bidi="hr-HR"/>
        </w:rPr>
        <w:t>primjetan porast u 2020. u odnosu na 2014. godinu</w:t>
      </w:r>
      <w:r w:rsidRPr="006E7608">
        <w:rPr>
          <w:rFonts w:ascii="Arial" w:hAnsi="Arial" w:cs="Arial"/>
          <w:sz w:val="20"/>
          <w:szCs w:val="20"/>
          <w:lang w:eastAsia="en-GB" w:bidi="hr-HR"/>
        </w:rPr>
        <w:t xml:space="preserve">). U razdoblju od 2018. do 2020. godine u primjetan je blagi uzlazni trend prisutnosti </w:t>
      </w:r>
      <w:proofErr w:type="spellStart"/>
      <w:r w:rsidRPr="006E7608">
        <w:rPr>
          <w:rFonts w:ascii="Arial" w:hAnsi="Arial" w:cs="Arial"/>
          <w:sz w:val="20"/>
          <w:szCs w:val="20"/>
          <w:lang w:eastAsia="en-GB" w:bidi="hr-HR"/>
        </w:rPr>
        <w:t>biomarkera</w:t>
      </w:r>
      <w:proofErr w:type="spellEnd"/>
      <w:r w:rsidRPr="006E7608">
        <w:rPr>
          <w:rFonts w:ascii="Arial" w:hAnsi="Arial" w:cs="Arial"/>
          <w:sz w:val="20"/>
          <w:szCs w:val="20"/>
          <w:lang w:eastAsia="en-GB" w:bidi="hr-HR"/>
        </w:rPr>
        <w:t xml:space="preserve"> MDMA i pad 2021. godine (</w:t>
      </w:r>
      <w:r w:rsidRPr="006E7608">
        <w:rPr>
          <w:rFonts w:ascii="Arial" w:hAnsi="Arial" w:cs="Arial"/>
          <w:iCs/>
          <w:sz w:val="20"/>
          <w:szCs w:val="20"/>
          <w:lang w:eastAsia="en-GB" w:bidi="hr-HR"/>
        </w:rPr>
        <w:t>28.26 mg/1000 stanovnika po danu</w:t>
      </w:r>
      <w:r w:rsidRPr="006E7608">
        <w:rPr>
          <w:rFonts w:ascii="Arial" w:hAnsi="Arial" w:cs="Arial"/>
          <w:sz w:val="20"/>
          <w:szCs w:val="20"/>
          <w:lang w:eastAsia="en-GB" w:bidi="hr-HR"/>
        </w:rPr>
        <w:t>) na približnu razinu iz 2018. godine.</w:t>
      </w:r>
    </w:p>
    <w:p w:rsidR="007C4BB8" w:rsidRPr="006E7608" w:rsidRDefault="007C4BB8" w:rsidP="007C4BB8">
      <w:pPr>
        <w:tabs>
          <w:tab w:val="left" w:pos="3670"/>
        </w:tabs>
        <w:jc w:val="both"/>
        <w:rPr>
          <w:rFonts w:ascii="Arial" w:hAnsi="Arial" w:cs="Arial"/>
          <w:sz w:val="20"/>
          <w:szCs w:val="20"/>
          <w:lang w:eastAsia="en-GB" w:bidi="hr-HR"/>
        </w:rPr>
      </w:pPr>
    </w:p>
    <w:p w:rsidR="000C4EEB" w:rsidRDefault="000C4EEB" w:rsidP="003E0B44">
      <w:pPr>
        <w:jc w:val="both"/>
        <w:rPr>
          <w:rFonts w:ascii="Arial" w:hAnsi="Arial" w:cs="Arial"/>
          <w:sz w:val="20"/>
          <w:szCs w:val="20"/>
          <w:lang w:eastAsia="en-GB" w:bidi="hr-HR"/>
        </w:rPr>
      </w:pPr>
    </w:p>
    <w:p w:rsidR="000C4EEB" w:rsidRDefault="000C4EEB" w:rsidP="003E0B44">
      <w:pPr>
        <w:jc w:val="both"/>
        <w:rPr>
          <w:rFonts w:ascii="Arial" w:hAnsi="Arial" w:cs="Arial"/>
          <w:b/>
          <w:color w:val="C00000"/>
          <w:sz w:val="22"/>
          <w:szCs w:val="22"/>
        </w:rPr>
        <w:sectPr w:rsidR="000C4EEB" w:rsidSect="00E148D8">
          <w:headerReference w:type="default" r:id="rId9"/>
          <w:footerReference w:type="default" r:id="rId10"/>
          <w:type w:val="continuous"/>
          <w:pgSz w:w="11906" w:h="16838"/>
          <w:pgMar w:top="1417" w:right="707" w:bottom="1417" w:left="993" w:header="708" w:footer="708" w:gutter="0"/>
          <w:cols w:space="708"/>
          <w:docGrid w:linePitch="360"/>
        </w:sectPr>
      </w:pPr>
    </w:p>
    <w:p w:rsidR="00BC1434" w:rsidRPr="00B650E3" w:rsidRDefault="00BC1434" w:rsidP="00BC1434">
      <w:pPr>
        <w:jc w:val="both"/>
        <w:rPr>
          <w:rFonts w:ascii="Arial" w:hAnsi="Arial" w:cs="Arial"/>
          <w:b/>
          <w:color w:val="C00000"/>
          <w:sz w:val="22"/>
          <w:szCs w:val="22"/>
        </w:rPr>
      </w:pPr>
      <w:r w:rsidRPr="00B650E3">
        <w:rPr>
          <w:rFonts w:ascii="Arial" w:hAnsi="Arial" w:cs="Arial"/>
          <w:b/>
          <w:color w:val="C00000"/>
          <w:sz w:val="22"/>
          <w:szCs w:val="22"/>
        </w:rPr>
        <w:t>Štetne posljedice povezane s uporabom droga i odgovori na problematiku</w:t>
      </w:r>
    </w:p>
    <w:p w:rsidR="00F63785" w:rsidRDefault="00F63785" w:rsidP="00BC1434">
      <w:pPr>
        <w:jc w:val="both"/>
        <w:rPr>
          <w:rFonts w:ascii="Arial" w:hAnsi="Arial" w:cs="Arial"/>
          <w:sz w:val="20"/>
          <w:szCs w:val="20"/>
        </w:rPr>
      </w:pPr>
    </w:p>
    <w:p w:rsidR="00225CD4" w:rsidRDefault="000C4EEB" w:rsidP="00BC1434">
      <w:pPr>
        <w:jc w:val="both"/>
        <w:rPr>
          <w:rFonts w:ascii="Arial" w:hAnsi="Arial" w:cs="Arial"/>
          <w:sz w:val="20"/>
          <w:szCs w:val="20"/>
        </w:rPr>
      </w:pPr>
      <w:r w:rsidRPr="000C4EEB">
        <w:rPr>
          <w:rFonts w:ascii="Arial" w:hAnsi="Arial" w:cs="Arial"/>
          <w:sz w:val="20"/>
          <w:szCs w:val="20"/>
        </w:rPr>
        <w:t xml:space="preserve">Iako se u Europi </w:t>
      </w:r>
      <w:proofErr w:type="spellStart"/>
      <w:r w:rsidRPr="000C4EEB">
        <w:rPr>
          <w:rFonts w:ascii="Arial" w:hAnsi="Arial" w:cs="Arial"/>
          <w:sz w:val="20"/>
          <w:szCs w:val="20"/>
        </w:rPr>
        <w:t>intravenska</w:t>
      </w:r>
      <w:proofErr w:type="spellEnd"/>
      <w:r w:rsidRPr="000C4EEB">
        <w:rPr>
          <w:rFonts w:ascii="Arial" w:hAnsi="Arial" w:cs="Arial"/>
          <w:sz w:val="20"/>
          <w:szCs w:val="20"/>
        </w:rPr>
        <w:t xml:space="preserve"> uporaba droga smanjila u proteklom desetljeću, i dalje je glavni uzrok štetnih posljedica povezanih s drogom. </w:t>
      </w:r>
      <w:r w:rsidR="00225CD4" w:rsidRPr="00225CD4">
        <w:rPr>
          <w:rFonts w:ascii="Arial" w:hAnsi="Arial" w:cs="Arial"/>
          <w:sz w:val="20"/>
          <w:szCs w:val="20"/>
        </w:rPr>
        <w:t>Među konzumentima koji su 20</w:t>
      </w:r>
      <w:r w:rsidR="00235221">
        <w:rPr>
          <w:rFonts w:ascii="Arial" w:hAnsi="Arial" w:cs="Arial"/>
          <w:sz w:val="20"/>
          <w:szCs w:val="20"/>
        </w:rPr>
        <w:t>20</w:t>
      </w:r>
      <w:r w:rsidR="00225CD4" w:rsidRPr="00225CD4">
        <w:rPr>
          <w:rFonts w:ascii="Arial" w:hAnsi="Arial" w:cs="Arial"/>
          <w:sz w:val="20"/>
          <w:szCs w:val="20"/>
        </w:rPr>
        <w:t xml:space="preserve">. prvi put uključeni u specijalizirani tretman ovisnosti i kojima je heroin bio primarna droga, </w:t>
      </w:r>
      <w:r w:rsidR="00235221">
        <w:rPr>
          <w:rFonts w:ascii="Arial" w:hAnsi="Arial" w:cs="Arial"/>
          <w:sz w:val="20"/>
          <w:szCs w:val="20"/>
        </w:rPr>
        <w:t>22</w:t>
      </w:r>
      <w:r w:rsidR="00225CD4" w:rsidRPr="00225CD4">
        <w:rPr>
          <w:rFonts w:ascii="Arial" w:hAnsi="Arial" w:cs="Arial"/>
          <w:sz w:val="20"/>
          <w:szCs w:val="20"/>
        </w:rPr>
        <w:t xml:space="preserve"> % njih navelo je </w:t>
      </w:r>
      <w:proofErr w:type="spellStart"/>
      <w:r w:rsidR="00225CD4" w:rsidRPr="00225CD4">
        <w:rPr>
          <w:rFonts w:ascii="Arial" w:hAnsi="Arial" w:cs="Arial"/>
          <w:sz w:val="20"/>
          <w:szCs w:val="20"/>
        </w:rPr>
        <w:t>intravensku</w:t>
      </w:r>
      <w:proofErr w:type="spellEnd"/>
      <w:r w:rsidR="00225CD4" w:rsidRPr="00225CD4">
        <w:rPr>
          <w:rFonts w:ascii="Arial" w:hAnsi="Arial" w:cs="Arial"/>
          <w:sz w:val="20"/>
          <w:szCs w:val="20"/>
        </w:rPr>
        <w:t xml:space="preserve"> uporabu kao glavni način primjene, za razliku od 35 % koliko ih je bilo </w:t>
      </w:r>
      <w:r w:rsidR="00067CD3">
        <w:rPr>
          <w:rFonts w:ascii="Arial" w:hAnsi="Arial" w:cs="Arial"/>
          <w:sz w:val="20"/>
          <w:szCs w:val="20"/>
        </w:rPr>
        <w:t xml:space="preserve">u </w:t>
      </w:r>
      <w:r w:rsidR="00225CD4" w:rsidRPr="00225CD4">
        <w:rPr>
          <w:rFonts w:ascii="Arial" w:hAnsi="Arial" w:cs="Arial"/>
          <w:sz w:val="20"/>
          <w:szCs w:val="20"/>
        </w:rPr>
        <w:t>2013.</w:t>
      </w:r>
    </w:p>
    <w:p w:rsidR="00225CD4" w:rsidRDefault="00225CD4" w:rsidP="00BC1434">
      <w:pPr>
        <w:jc w:val="both"/>
        <w:rPr>
          <w:rFonts w:ascii="Arial" w:hAnsi="Arial" w:cs="Arial"/>
          <w:sz w:val="20"/>
          <w:szCs w:val="20"/>
        </w:rPr>
      </w:pPr>
    </w:p>
    <w:p w:rsidR="00225CD4" w:rsidRDefault="00225CD4" w:rsidP="008810F4">
      <w:pPr>
        <w:jc w:val="both"/>
        <w:rPr>
          <w:rFonts w:ascii="Arial" w:hAnsi="Arial" w:cs="Arial"/>
          <w:sz w:val="20"/>
          <w:szCs w:val="20"/>
        </w:rPr>
      </w:pPr>
      <w:proofErr w:type="spellStart"/>
      <w:r w:rsidRPr="00225CD4">
        <w:rPr>
          <w:rFonts w:ascii="Arial" w:hAnsi="Arial" w:cs="Arial"/>
          <w:sz w:val="20"/>
          <w:szCs w:val="20"/>
        </w:rPr>
        <w:t>Intravenski</w:t>
      </w:r>
      <w:proofErr w:type="spellEnd"/>
      <w:r w:rsidRPr="00225CD4">
        <w:rPr>
          <w:rFonts w:ascii="Arial" w:hAnsi="Arial" w:cs="Arial"/>
          <w:sz w:val="20"/>
          <w:szCs w:val="20"/>
        </w:rPr>
        <w:t xml:space="preserve"> konzumenti droga izloženi su većem riziku od zaraza kao što su virus humane </w:t>
      </w:r>
      <w:proofErr w:type="spellStart"/>
      <w:r w:rsidRPr="00225CD4">
        <w:rPr>
          <w:rFonts w:ascii="Arial" w:hAnsi="Arial" w:cs="Arial"/>
          <w:sz w:val="20"/>
          <w:szCs w:val="20"/>
        </w:rPr>
        <w:t>imunodeficijencije</w:t>
      </w:r>
      <w:proofErr w:type="spellEnd"/>
      <w:r w:rsidRPr="00225CD4">
        <w:rPr>
          <w:rFonts w:ascii="Arial" w:hAnsi="Arial" w:cs="Arial"/>
          <w:sz w:val="20"/>
          <w:szCs w:val="20"/>
        </w:rPr>
        <w:t xml:space="preserve"> (HIV) i virus hepatitisa C (HCV) zbog razmjene pribora za uporabu droga. Europska unija i njezine države članice podržavaju ciljeve održivog razvoja do 2030. za zaustavljanje epidemije HIV-a/AIDS-a i borbu protiv virusnog hepatitisa.</w:t>
      </w:r>
      <w:r w:rsidR="00F35A88" w:rsidRPr="00F35A88">
        <w:rPr>
          <w:rFonts w:ascii="Trivia Sans Book" w:eastAsiaTheme="minorHAnsi" w:hAnsi="Trivia Sans Book" w:cs="Trivia Sans Book"/>
          <w:color w:val="000000"/>
          <w:sz w:val="18"/>
          <w:szCs w:val="18"/>
          <w:lang w:eastAsia="en-US"/>
        </w:rPr>
        <w:t xml:space="preserve"> </w:t>
      </w:r>
      <w:r w:rsidR="00F35A88" w:rsidRPr="00F35A88">
        <w:rPr>
          <w:rFonts w:ascii="Arial" w:hAnsi="Arial" w:cs="Arial"/>
          <w:sz w:val="20"/>
          <w:szCs w:val="20"/>
        </w:rPr>
        <w:t>P</w:t>
      </w:r>
      <w:r w:rsidR="00F35A88">
        <w:rPr>
          <w:rFonts w:ascii="Arial" w:hAnsi="Arial" w:cs="Arial"/>
          <w:sz w:val="20"/>
          <w:szCs w:val="20"/>
        </w:rPr>
        <w:t xml:space="preserve">ostoji </w:t>
      </w:r>
      <w:r w:rsidR="00F35A88" w:rsidRPr="00F35A88">
        <w:rPr>
          <w:rFonts w:ascii="Arial" w:hAnsi="Arial" w:cs="Arial"/>
          <w:sz w:val="20"/>
          <w:szCs w:val="20"/>
        </w:rPr>
        <w:t xml:space="preserve">zabrinutost da je </w:t>
      </w:r>
      <w:proofErr w:type="spellStart"/>
      <w:r w:rsidR="00F35A88" w:rsidRPr="00F35A88">
        <w:rPr>
          <w:rFonts w:ascii="Arial" w:hAnsi="Arial" w:cs="Arial"/>
          <w:sz w:val="20"/>
          <w:szCs w:val="20"/>
        </w:rPr>
        <w:t>pandemija</w:t>
      </w:r>
      <w:proofErr w:type="spellEnd"/>
      <w:r w:rsidR="00F35A88" w:rsidRPr="00F35A88">
        <w:rPr>
          <w:rFonts w:ascii="Arial" w:hAnsi="Arial" w:cs="Arial"/>
          <w:sz w:val="20"/>
          <w:szCs w:val="20"/>
        </w:rPr>
        <w:t xml:space="preserve"> bolesti COVID-19 poremetila distribuciju sterilne opreme za konzumaciju droga i pridonijela padu testiranja na HIV i virusni hepatitis </w:t>
      </w:r>
      <w:r w:rsidR="0001674C">
        <w:rPr>
          <w:rFonts w:ascii="Arial" w:hAnsi="Arial" w:cs="Arial"/>
          <w:sz w:val="20"/>
          <w:szCs w:val="20"/>
        </w:rPr>
        <w:t xml:space="preserve">tijekom </w:t>
      </w:r>
      <w:r w:rsidR="00F35A88" w:rsidRPr="00F35A88">
        <w:rPr>
          <w:rFonts w:ascii="Arial" w:hAnsi="Arial" w:cs="Arial"/>
          <w:sz w:val="20"/>
          <w:szCs w:val="20"/>
        </w:rPr>
        <w:t>2020. godine</w:t>
      </w:r>
      <w:r w:rsidR="00F35A88">
        <w:rPr>
          <w:rFonts w:ascii="Arial" w:hAnsi="Arial" w:cs="Arial"/>
          <w:sz w:val="20"/>
          <w:szCs w:val="20"/>
        </w:rPr>
        <w:t>.</w:t>
      </w:r>
      <w:r w:rsidR="008810F4" w:rsidRPr="008810F4">
        <w:t xml:space="preserve"> </w:t>
      </w:r>
      <w:proofErr w:type="spellStart"/>
      <w:r w:rsidR="008810F4" w:rsidRPr="008810F4">
        <w:rPr>
          <w:rFonts w:ascii="Arial" w:hAnsi="Arial" w:cs="Arial"/>
          <w:sz w:val="20"/>
          <w:szCs w:val="20"/>
        </w:rPr>
        <w:t>Prevalencija</w:t>
      </w:r>
      <w:proofErr w:type="spellEnd"/>
      <w:r w:rsidR="008810F4" w:rsidRPr="008810F4">
        <w:rPr>
          <w:rFonts w:ascii="Arial" w:hAnsi="Arial" w:cs="Arial"/>
          <w:sz w:val="20"/>
          <w:szCs w:val="20"/>
        </w:rPr>
        <w:t xml:space="preserve"> antitijela na HCV među</w:t>
      </w:r>
      <w:r w:rsidR="008810F4">
        <w:rPr>
          <w:rFonts w:ascii="Arial" w:hAnsi="Arial" w:cs="Arial"/>
          <w:sz w:val="20"/>
          <w:szCs w:val="20"/>
        </w:rPr>
        <w:t xml:space="preserve"> osobama koje injektiraju</w:t>
      </w:r>
      <w:r w:rsidR="008810F4" w:rsidRPr="008810F4">
        <w:rPr>
          <w:rFonts w:ascii="Arial" w:hAnsi="Arial" w:cs="Arial"/>
          <w:sz w:val="20"/>
          <w:szCs w:val="20"/>
        </w:rPr>
        <w:t xml:space="preserve"> drog</w:t>
      </w:r>
      <w:r w:rsidR="008810F4">
        <w:rPr>
          <w:rFonts w:ascii="Arial" w:hAnsi="Arial" w:cs="Arial"/>
          <w:sz w:val="20"/>
          <w:szCs w:val="20"/>
        </w:rPr>
        <w:t>e kreće se u rasponu od 13 do 86 %, prema dostupnim podatcima 15 europskih država koje raspolažu takvim podacima na nacionalnoj razini.</w:t>
      </w:r>
    </w:p>
    <w:p w:rsidR="008810F4" w:rsidRDefault="008810F4" w:rsidP="008810F4">
      <w:pPr>
        <w:jc w:val="both"/>
        <w:rPr>
          <w:rFonts w:ascii="Arial" w:hAnsi="Arial" w:cs="Arial"/>
          <w:sz w:val="20"/>
          <w:szCs w:val="20"/>
        </w:rPr>
      </w:pPr>
    </w:p>
    <w:p w:rsidR="00225CD4" w:rsidRDefault="0001674C" w:rsidP="00BC1434">
      <w:pPr>
        <w:jc w:val="both"/>
        <w:rPr>
          <w:rFonts w:ascii="Arial" w:hAnsi="Arial" w:cs="Arial"/>
          <w:sz w:val="20"/>
          <w:szCs w:val="20"/>
        </w:rPr>
      </w:pPr>
      <w:r w:rsidRPr="0001674C">
        <w:rPr>
          <w:rFonts w:ascii="Arial" w:hAnsi="Arial" w:cs="Arial"/>
          <w:sz w:val="20"/>
          <w:szCs w:val="20"/>
        </w:rPr>
        <w:t xml:space="preserve">Dugoročni trendovi u pogledu novih slučajeva zaraze HIV-om povezanih s </w:t>
      </w:r>
      <w:proofErr w:type="spellStart"/>
      <w:r w:rsidRPr="0001674C">
        <w:rPr>
          <w:rFonts w:ascii="Arial" w:hAnsi="Arial" w:cs="Arial"/>
          <w:sz w:val="20"/>
          <w:szCs w:val="20"/>
        </w:rPr>
        <w:t>intravenskom</w:t>
      </w:r>
      <w:proofErr w:type="spellEnd"/>
      <w:r w:rsidRPr="0001674C">
        <w:rPr>
          <w:rFonts w:ascii="Arial" w:hAnsi="Arial" w:cs="Arial"/>
          <w:sz w:val="20"/>
          <w:szCs w:val="20"/>
        </w:rPr>
        <w:t xml:space="preserve"> konzumacijom droga u Europi su u padu. Tijekom 2020.</w:t>
      </w:r>
      <w:r w:rsidRPr="0001674C">
        <w:rPr>
          <w:rFonts w:ascii="Trivia Sans Book" w:eastAsiaTheme="minorHAnsi" w:hAnsi="Trivia Sans Book" w:cs="Trivia Sans Book"/>
          <w:color w:val="000000"/>
          <w:sz w:val="18"/>
          <w:szCs w:val="18"/>
          <w:lang w:eastAsia="en-US"/>
        </w:rPr>
        <w:t xml:space="preserve"> </w:t>
      </w:r>
      <w:r>
        <w:rPr>
          <w:rFonts w:ascii="Trivia Sans Book" w:eastAsiaTheme="minorHAnsi" w:hAnsi="Trivia Sans Book" w:cs="Trivia Sans Book"/>
          <w:color w:val="000000"/>
          <w:sz w:val="18"/>
          <w:szCs w:val="18"/>
          <w:lang w:eastAsia="en-US"/>
        </w:rPr>
        <w:t xml:space="preserve">su </w:t>
      </w:r>
      <w:r w:rsidRPr="0001674C">
        <w:rPr>
          <w:rFonts w:ascii="Arial" w:hAnsi="Arial" w:cs="Arial"/>
          <w:sz w:val="20"/>
          <w:szCs w:val="20"/>
        </w:rPr>
        <w:t xml:space="preserve">u Europskoj uniji zabilježena 563 nova slučaja zaraze HIV-om (1,3 na milijun stanovnika) i 128 novih slučaja razvoja AIDS-a povezanih s </w:t>
      </w:r>
      <w:proofErr w:type="spellStart"/>
      <w:r w:rsidRPr="0001674C">
        <w:rPr>
          <w:rFonts w:ascii="Arial" w:hAnsi="Arial" w:cs="Arial"/>
          <w:sz w:val="20"/>
          <w:szCs w:val="20"/>
        </w:rPr>
        <w:t>intravenskom</w:t>
      </w:r>
      <w:proofErr w:type="spellEnd"/>
      <w:r w:rsidRPr="0001674C">
        <w:rPr>
          <w:rFonts w:ascii="Arial" w:hAnsi="Arial" w:cs="Arial"/>
          <w:sz w:val="20"/>
          <w:szCs w:val="20"/>
        </w:rPr>
        <w:t xml:space="preserve"> konzumacijom droga. Više od polovine novih dijagnoza HIV-a kao posljedice </w:t>
      </w:r>
      <w:proofErr w:type="spellStart"/>
      <w:r w:rsidRPr="0001674C">
        <w:rPr>
          <w:rFonts w:ascii="Arial" w:hAnsi="Arial" w:cs="Arial"/>
          <w:sz w:val="20"/>
          <w:szCs w:val="20"/>
        </w:rPr>
        <w:t>intravenske</w:t>
      </w:r>
      <w:proofErr w:type="spellEnd"/>
      <w:r w:rsidRPr="0001674C">
        <w:rPr>
          <w:rFonts w:ascii="Arial" w:hAnsi="Arial" w:cs="Arial"/>
          <w:sz w:val="20"/>
          <w:szCs w:val="20"/>
        </w:rPr>
        <w:t xml:space="preserve"> konzumacije droga i dalje se dijagnosticira kasno.</w:t>
      </w:r>
    </w:p>
    <w:p w:rsidR="0001674C" w:rsidRDefault="0001674C" w:rsidP="00BC1434">
      <w:pPr>
        <w:jc w:val="both"/>
        <w:rPr>
          <w:rFonts w:ascii="Arial" w:hAnsi="Arial" w:cs="Arial"/>
          <w:sz w:val="20"/>
          <w:szCs w:val="20"/>
        </w:rPr>
      </w:pPr>
    </w:p>
    <w:p w:rsidR="0001674C" w:rsidRDefault="0001674C" w:rsidP="00BC1434">
      <w:pPr>
        <w:jc w:val="both"/>
        <w:rPr>
          <w:rFonts w:ascii="Arial" w:hAnsi="Arial" w:cs="Arial"/>
          <w:sz w:val="20"/>
          <w:szCs w:val="20"/>
        </w:rPr>
      </w:pPr>
      <w:r w:rsidRPr="0001674C">
        <w:rPr>
          <w:rFonts w:ascii="Arial" w:hAnsi="Arial" w:cs="Arial"/>
          <w:sz w:val="20"/>
          <w:szCs w:val="20"/>
        </w:rPr>
        <w:t>Procjenjuje se da je u Europskoj uniji 2020. godine zabilježeno najmanje 5800 smrtnih slučajeva</w:t>
      </w:r>
      <w:r>
        <w:rPr>
          <w:rFonts w:ascii="Arial" w:hAnsi="Arial" w:cs="Arial"/>
          <w:sz w:val="20"/>
          <w:szCs w:val="20"/>
        </w:rPr>
        <w:t xml:space="preserve"> (5141 u 2019.)</w:t>
      </w:r>
      <w:r w:rsidRPr="0001674C">
        <w:rPr>
          <w:rFonts w:ascii="Arial" w:hAnsi="Arial" w:cs="Arial"/>
          <w:sz w:val="20"/>
          <w:szCs w:val="20"/>
        </w:rPr>
        <w:t xml:space="preserve"> zbog predoziranja nezakonitim drogama, što predstavlja procijenjenu stopu smrtnosti zbog predoziranja droga </w:t>
      </w:r>
      <w:r>
        <w:rPr>
          <w:rFonts w:ascii="Arial" w:hAnsi="Arial" w:cs="Arial"/>
          <w:sz w:val="20"/>
          <w:szCs w:val="20"/>
        </w:rPr>
        <w:t>od</w:t>
      </w:r>
      <w:r w:rsidRPr="0001674C">
        <w:rPr>
          <w:rFonts w:ascii="Arial" w:hAnsi="Arial" w:cs="Arial"/>
          <w:sz w:val="20"/>
          <w:szCs w:val="20"/>
        </w:rPr>
        <w:t xml:space="preserve"> 16,7 smrtnih slučajeva na milijun odrasl</w:t>
      </w:r>
      <w:r>
        <w:rPr>
          <w:rFonts w:ascii="Arial" w:hAnsi="Arial" w:cs="Arial"/>
          <w:sz w:val="20"/>
          <w:szCs w:val="20"/>
        </w:rPr>
        <w:t>og stanovništva</w:t>
      </w:r>
      <w:r w:rsidRPr="0001674C">
        <w:rPr>
          <w:rFonts w:ascii="Arial" w:hAnsi="Arial" w:cs="Arial"/>
          <w:sz w:val="20"/>
          <w:szCs w:val="20"/>
        </w:rPr>
        <w:t xml:space="preserve">. Većina tih smrtni povezana je s intoksikacijom </w:t>
      </w:r>
      <w:r>
        <w:rPr>
          <w:rFonts w:ascii="Arial" w:hAnsi="Arial" w:cs="Arial"/>
          <w:sz w:val="20"/>
          <w:szCs w:val="20"/>
        </w:rPr>
        <w:t xml:space="preserve">uzrokovanom </w:t>
      </w:r>
      <w:proofErr w:type="spellStart"/>
      <w:r w:rsidRPr="0001674C">
        <w:rPr>
          <w:rFonts w:ascii="Arial" w:hAnsi="Arial" w:cs="Arial"/>
          <w:sz w:val="20"/>
          <w:szCs w:val="20"/>
        </w:rPr>
        <w:t>poliuporab</w:t>
      </w:r>
      <w:r>
        <w:rPr>
          <w:rFonts w:ascii="Arial" w:hAnsi="Arial" w:cs="Arial"/>
          <w:sz w:val="20"/>
          <w:szCs w:val="20"/>
        </w:rPr>
        <w:t>om</w:t>
      </w:r>
      <w:proofErr w:type="spellEnd"/>
      <w:r w:rsidRPr="0001674C">
        <w:rPr>
          <w:rFonts w:ascii="Arial" w:hAnsi="Arial" w:cs="Arial"/>
          <w:sz w:val="20"/>
          <w:szCs w:val="20"/>
        </w:rPr>
        <w:t xml:space="preserve"> droga, koja obično uključuje kombinacije nedopuštenih </w:t>
      </w:r>
      <w:proofErr w:type="spellStart"/>
      <w:r w:rsidRPr="0001674C">
        <w:rPr>
          <w:rFonts w:ascii="Arial" w:hAnsi="Arial" w:cs="Arial"/>
          <w:sz w:val="20"/>
          <w:szCs w:val="20"/>
        </w:rPr>
        <w:t>opioida</w:t>
      </w:r>
      <w:proofErr w:type="spellEnd"/>
      <w:r w:rsidRPr="0001674C">
        <w:rPr>
          <w:rFonts w:ascii="Arial" w:hAnsi="Arial" w:cs="Arial"/>
          <w:sz w:val="20"/>
          <w:szCs w:val="20"/>
        </w:rPr>
        <w:t>, drugih nezakonitih droga, lijekova i alkohola.</w:t>
      </w:r>
      <w:r w:rsidRPr="0001674C">
        <w:rPr>
          <w:rFonts w:ascii="Trivia Sans Book" w:eastAsiaTheme="minorHAnsi" w:hAnsi="Trivia Sans Book" w:cs="Trivia Sans Book"/>
          <w:color w:val="000000"/>
          <w:sz w:val="18"/>
          <w:szCs w:val="18"/>
          <w:lang w:eastAsia="en-US"/>
        </w:rPr>
        <w:t xml:space="preserve"> </w:t>
      </w:r>
      <w:proofErr w:type="spellStart"/>
      <w:r w:rsidRPr="0001674C">
        <w:rPr>
          <w:rFonts w:ascii="Arial" w:hAnsi="Arial" w:cs="Arial"/>
          <w:sz w:val="20"/>
          <w:szCs w:val="20"/>
        </w:rPr>
        <w:t>Opioidi</w:t>
      </w:r>
      <w:proofErr w:type="spellEnd"/>
      <w:r w:rsidRPr="0001674C">
        <w:rPr>
          <w:rFonts w:ascii="Arial" w:hAnsi="Arial" w:cs="Arial"/>
          <w:sz w:val="20"/>
          <w:szCs w:val="20"/>
        </w:rPr>
        <w:t xml:space="preserve"> su prisutni u otprilike tri četvrtine svih smrtnih slučajeva uzrokovanih uporabom droga</w:t>
      </w:r>
      <w:r>
        <w:rPr>
          <w:rFonts w:ascii="Arial" w:hAnsi="Arial" w:cs="Arial"/>
          <w:sz w:val="20"/>
          <w:szCs w:val="20"/>
        </w:rPr>
        <w:t>.</w:t>
      </w:r>
      <w:r w:rsidRPr="0001674C">
        <w:rPr>
          <w:rFonts w:ascii="Arial" w:hAnsi="Arial" w:cs="Arial"/>
          <w:sz w:val="20"/>
          <w:szCs w:val="20"/>
        </w:rPr>
        <w:t xml:space="preserve"> </w:t>
      </w:r>
      <w:proofErr w:type="spellStart"/>
      <w:r w:rsidRPr="0001674C">
        <w:rPr>
          <w:rFonts w:ascii="Arial" w:hAnsi="Arial" w:cs="Arial"/>
          <w:sz w:val="20"/>
          <w:szCs w:val="20"/>
        </w:rPr>
        <w:t>Benzodiazepini</w:t>
      </w:r>
      <w:proofErr w:type="spellEnd"/>
      <w:r w:rsidRPr="0001674C">
        <w:rPr>
          <w:rFonts w:ascii="Arial" w:hAnsi="Arial" w:cs="Arial"/>
          <w:sz w:val="20"/>
          <w:szCs w:val="20"/>
        </w:rPr>
        <w:t xml:space="preserve"> se, u kombinaciji s drugim drogama, često spom</w:t>
      </w:r>
      <w:r>
        <w:rPr>
          <w:rFonts w:ascii="Arial" w:hAnsi="Arial" w:cs="Arial"/>
          <w:sz w:val="20"/>
          <w:szCs w:val="20"/>
        </w:rPr>
        <w:t>inju u toksikološkim izvješćima.</w:t>
      </w:r>
      <w:r w:rsidRPr="0001674C">
        <w:rPr>
          <w:rFonts w:ascii="Trivia Sans Book" w:eastAsiaTheme="minorHAnsi" w:hAnsi="Trivia Sans Book" w:cs="Trivia Sans Book"/>
          <w:color w:val="000000"/>
          <w:sz w:val="18"/>
          <w:szCs w:val="18"/>
          <w:lang w:eastAsia="en-US"/>
        </w:rPr>
        <w:t xml:space="preserve"> </w:t>
      </w:r>
      <w:r w:rsidRPr="0001674C">
        <w:rPr>
          <w:rFonts w:ascii="Arial" w:hAnsi="Arial" w:cs="Arial"/>
          <w:sz w:val="20"/>
          <w:szCs w:val="20"/>
        </w:rPr>
        <w:t xml:space="preserve">Broj smrtnih slučajeva zbog predoziranja u dobnoj skupini od 50 do 64 povećao se za 82 % između 2012. i 2020. godine. Navedeno odražava trend starenja među visokorizičnim korisnicima droga i, u pojedinim državama, porast smrtnih slučajeva, (često među ženama) povezanih s </w:t>
      </w:r>
      <w:proofErr w:type="spellStart"/>
      <w:r w:rsidRPr="0001674C">
        <w:rPr>
          <w:rFonts w:ascii="Arial" w:hAnsi="Arial" w:cs="Arial"/>
          <w:sz w:val="20"/>
          <w:szCs w:val="20"/>
        </w:rPr>
        <w:t>opioidima</w:t>
      </w:r>
      <w:proofErr w:type="spellEnd"/>
      <w:r w:rsidRPr="0001674C">
        <w:rPr>
          <w:rFonts w:ascii="Arial" w:hAnsi="Arial" w:cs="Arial"/>
          <w:sz w:val="20"/>
          <w:szCs w:val="20"/>
        </w:rPr>
        <w:t xml:space="preserve"> koji se izdaju na recept, a koji su možda povezani s upravljanjem boli i zlouporabom lijekova.</w:t>
      </w:r>
    </w:p>
    <w:p w:rsidR="00DC4640" w:rsidRDefault="00DC4640" w:rsidP="00097DDE">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36830</wp:posOffset>
                </wp:positionV>
                <wp:extent cx="6544310" cy="447675"/>
                <wp:effectExtent l="19050" t="0" r="46990" b="238125"/>
                <wp:wrapNone/>
                <wp:docPr id="5" name="Pravokutnik 5"/>
                <wp:cNvGraphicFramePr/>
                <a:graphic xmlns:a="http://schemas.openxmlformats.org/drawingml/2006/main">
                  <a:graphicData uri="http://schemas.microsoft.com/office/word/2010/wordprocessingShape">
                    <wps:wsp>
                      <wps:cNvSpPr/>
                      <wps:spPr>
                        <a:xfrm>
                          <a:off x="0" y="0"/>
                          <a:ext cx="6544310" cy="447675"/>
                        </a:xfrm>
                        <a:prstGeom prst="rect">
                          <a:avLst/>
                        </a:prstGeom>
                        <a:solidFill>
                          <a:schemeClr val="accent6">
                            <a:lumMod val="20000"/>
                            <a:lumOff val="80000"/>
                          </a:schemeClr>
                        </a:solidFill>
                        <a:ln w="3175">
                          <a:solidFill>
                            <a:schemeClr val="accent6">
                              <a:lumMod val="40000"/>
                              <a:lumOff val="60000"/>
                            </a:schemeClr>
                          </a:solid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DC4640" w:rsidRPr="00DC4640" w:rsidRDefault="00DC4640" w:rsidP="00DC4640">
                            <w:pPr>
                              <w:jc w:val="center"/>
                              <w:rPr>
                                <w:rFonts w:ascii="Arial" w:hAnsi="Arial" w:cs="Arial"/>
                                <w:b/>
                                <w:color w:val="17365D" w:themeColor="text2" w:themeShade="BF"/>
                                <w:sz w:val="22"/>
                                <w:szCs w:val="22"/>
                              </w:rPr>
                            </w:pPr>
                            <w:r w:rsidRPr="00DC4640">
                              <w:rPr>
                                <w:rFonts w:ascii="Arial" w:hAnsi="Arial" w:cs="Arial"/>
                                <w:b/>
                                <w:color w:val="17365D" w:themeColor="text2" w:themeShade="BF"/>
                                <w:sz w:val="22"/>
                                <w:szCs w:val="22"/>
                              </w:rPr>
                              <w:t>STANJE PROBLEMATIKE DROGA U REPUBLICI HRVATSKOJ PREMA PRELIMINARNIM PODACIMA ZA 2021. GODINU</w:t>
                            </w:r>
                          </w:p>
                          <w:p w:rsidR="00DC4640" w:rsidRDefault="00DC4640" w:rsidP="00DC46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5" o:spid="_x0000_s1027" style="position:absolute;left:0;text-align:left;margin-left:-.15pt;margin-top:2.9pt;width:515.3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" fillcolor="#fde9d9 [665]" strokecolor="#fbd4b4 [1305]" strokeweight=".25pt">
                <v:textbox>
                  <w:txbxContent>
                    <w:p w:rsidR="00DC4640" w:rsidRPr="00DC4640" w:rsidRDefault="00DC4640" w:rsidP="00DC4640">
                      <w:pPr>
                        <w:jc w:val="center"/>
                        <w:rPr>
                          <w:rFonts w:ascii="Arial" w:hAnsi="Arial" w:cs="Arial"/>
                          <w:b/>
                          <w:color w:val="17365D" w:themeColor="text2" w:themeShade="BF"/>
                          <w:sz w:val="22"/>
                          <w:szCs w:val="22"/>
                        </w:rPr>
                      </w:pPr>
                      <w:r w:rsidRPr="00DC4640">
                        <w:rPr>
                          <w:rFonts w:ascii="Arial" w:hAnsi="Arial" w:cs="Arial"/>
                          <w:b/>
                          <w:color w:val="17365D" w:themeColor="text2" w:themeShade="BF"/>
                          <w:sz w:val="22"/>
                          <w:szCs w:val="22"/>
                        </w:rPr>
                        <w:t>STANJE PROBLEMATIKE DROGA U REPUBLICI HRVATSKOJ PREMA PRELIMINARNIM PODACIMA ZA 2021. GODINU</w:t>
                      </w:r>
                    </w:p>
                    <w:p w:rsidR="00DC4640" w:rsidRDefault="00DC4640" w:rsidP="00DC4640">
                      <w:pPr>
                        <w:jc w:val="center"/>
                      </w:pPr>
                    </w:p>
                  </w:txbxContent>
                </v:textbox>
              </v:rect>
            </w:pict>
          </mc:Fallback>
        </mc:AlternateContent>
      </w:r>
    </w:p>
    <w:p w:rsidR="00DC4640" w:rsidRDefault="00DC4640" w:rsidP="00097DDE">
      <w:pPr>
        <w:jc w:val="both"/>
        <w:rPr>
          <w:rFonts w:ascii="Arial" w:hAnsi="Arial" w:cs="Arial"/>
          <w:sz w:val="20"/>
          <w:szCs w:val="20"/>
        </w:rPr>
      </w:pPr>
    </w:p>
    <w:p w:rsidR="00DC4640" w:rsidRDefault="00DC4640" w:rsidP="00097DDE">
      <w:pPr>
        <w:jc w:val="both"/>
        <w:rPr>
          <w:rFonts w:ascii="Arial" w:hAnsi="Arial" w:cs="Arial"/>
          <w:sz w:val="20"/>
          <w:szCs w:val="20"/>
        </w:rPr>
      </w:pPr>
    </w:p>
    <w:p w:rsidR="00DC4640" w:rsidRDefault="00DC4640" w:rsidP="00097DDE">
      <w:pPr>
        <w:jc w:val="both"/>
        <w:rPr>
          <w:rFonts w:ascii="Arial" w:hAnsi="Arial" w:cs="Arial"/>
          <w:sz w:val="20"/>
          <w:szCs w:val="20"/>
        </w:rPr>
      </w:pPr>
    </w:p>
    <w:p w:rsidR="00DC4640" w:rsidRDefault="00DC4640" w:rsidP="00097DDE">
      <w:pPr>
        <w:jc w:val="both"/>
        <w:rPr>
          <w:rFonts w:ascii="Arial" w:hAnsi="Arial" w:cs="Arial"/>
          <w:sz w:val="20"/>
          <w:szCs w:val="20"/>
        </w:rPr>
      </w:pPr>
    </w:p>
    <w:p w:rsidR="00097DDE" w:rsidRPr="00097DDE" w:rsidRDefault="00097DDE" w:rsidP="00097DDE">
      <w:pPr>
        <w:jc w:val="both"/>
        <w:rPr>
          <w:rFonts w:ascii="Arial" w:hAnsi="Arial" w:cs="Arial"/>
          <w:sz w:val="20"/>
          <w:szCs w:val="20"/>
        </w:rPr>
      </w:pPr>
      <w:r w:rsidRPr="00097DDE">
        <w:rPr>
          <w:rFonts w:ascii="Arial" w:hAnsi="Arial" w:cs="Arial"/>
          <w:sz w:val="20"/>
          <w:szCs w:val="20"/>
        </w:rPr>
        <w:t>Prema podacima Ministarstva unutarnjih poslova tijekom 2021. godine na području RH zabilježeno je ukupno 2.324 kaznenih djela povezanih s drogama što je 11,8% m</w:t>
      </w:r>
      <w:r w:rsidR="001A4390">
        <w:rPr>
          <w:rFonts w:ascii="Arial" w:hAnsi="Arial" w:cs="Arial"/>
          <w:sz w:val="20"/>
          <w:szCs w:val="20"/>
        </w:rPr>
        <w:t>anje u odnosu na 2020. godinu od</w:t>
      </w:r>
      <w:r w:rsidRPr="00097DDE">
        <w:rPr>
          <w:rFonts w:ascii="Arial" w:hAnsi="Arial" w:cs="Arial"/>
          <w:sz w:val="20"/>
          <w:szCs w:val="20"/>
        </w:rPr>
        <w:t xml:space="preserve"> sveukupno prijavljenih kaznenih djela iz djelokruga linije rada problematike droga. </w:t>
      </w:r>
    </w:p>
    <w:p w:rsidR="00097DDE" w:rsidRPr="00097DDE" w:rsidRDefault="00097DDE" w:rsidP="00097DDE">
      <w:pPr>
        <w:jc w:val="both"/>
        <w:rPr>
          <w:rFonts w:ascii="Arial" w:hAnsi="Arial" w:cs="Arial"/>
          <w:sz w:val="20"/>
          <w:szCs w:val="20"/>
        </w:rPr>
      </w:pPr>
    </w:p>
    <w:p w:rsidR="00097DDE" w:rsidRDefault="00097DDE" w:rsidP="00097DDE">
      <w:pPr>
        <w:jc w:val="both"/>
        <w:rPr>
          <w:rFonts w:ascii="Arial" w:hAnsi="Arial" w:cs="Arial"/>
          <w:sz w:val="20"/>
          <w:szCs w:val="20"/>
        </w:rPr>
      </w:pPr>
      <w:r w:rsidRPr="00097DDE">
        <w:rPr>
          <w:rFonts w:ascii="Arial" w:hAnsi="Arial" w:cs="Arial"/>
          <w:sz w:val="20"/>
          <w:szCs w:val="20"/>
        </w:rPr>
        <w:t xml:space="preserve">U 2021. godini ukupno je zabilježeno 8951 zapljena svih vrsta droga, što predstavlja povećanje od 7,5% u odnosu na 2020. godinu kada je zabilježena 8323 zapljena. </w:t>
      </w:r>
    </w:p>
    <w:p w:rsidR="00926323" w:rsidRPr="00097DDE" w:rsidRDefault="00926323" w:rsidP="00097DDE">
      <w:pPr>
        <w:jc w:val="both"/>
        <w:rPr>
          <w:rFonts w:ascii="Arial" w:hAnsi="Arial" w:cs="Arial"/>
          <w:sz w:val="20"/>
          <w:szCs w:val="20"/>
        </w:rPr>
      </w:pPr>
    </w:p>
    <w:p w:rsidR="00097DDE" w:rsidRPr="00097DDE" w:rsidRDefault="00097DDE" w:rsidP="00097DDE">
      <w:pPr>
        <w:numPr>
          <w:ilvl w:val="0"/>
          <w:numId w:val="15"/>
        </w:numPr>
        <w:jc w:val="both"/>
        <w:rPr>
          <w:rFonts w:ascii="Arial" w:hAnsi="Arial" w:cs="Arial"/>
          <w:i/>
          <w:sz w:val="20"/>
          <w:szCs w:val="20"/>
        </w:rPr>
      </w:pPr>
      <w:r w:rsidRPr="00097DDE">
        <w:rPr>
          <w:rFonts w:ascii="Arial" w:hAnsi="Arial" w:cs="Arial"/>
          <w:i/>
          <w:sz w:val="20"/>
          <w:szCs w:val="20"/>
        </w:rPr>
        <w:t>Koli</w:t>
      </w:r>
      <w:r w:rsidR="00436273">
        <w:rPr>
          <w:rFonts w:ascii="Arial" w:hAnsi="Arial" w:cs="Arial"/>
          <w:i/>
          <w:sz w:val="20"/>
          <w:szCs w:val="20"/>
        </w:rPr>
        <w:t>čina zaplijenjene droge u 2020. i 2021</w:t>
      </w:r>
      <w:r w:rsidRPr="00097DDE">
        <w:rPr>
          <w:rFonts w:ascii="Arial" w:hAnsi="Arial" w:cs="Arial"/>
          <w:i/>
          <w:sz w:val="20"/>
          <w:szCs w:val="20"/>
        </w:rPr>
        <w:t>. godini u RH</w:t>
      </w:r>
    </w:p>
    <w:p w:rsidR="00097DDE" w:rsidRPr="00097DDE" w:rsidRDefault="00097DDE" w:rsidP="00097DDE">
      <w:pPr>
        <w:jc w:val="both"/>
        <w:rPr>
          <w:rFonts w:ascii="Arial" w:hAnsi="Arial" w:cs="Arial"/>
          <w:sz w:val="20"/>
          <w:szCs w:val="20"/>
        </w:rPr>
      </w:pPr>
    </w:p>
    <w:tbl>
      <w:tblPr>
        <w:tblW w:w="10211" w:type="dxa"/>
        <w:tblCellMar>
          <w:left w:w="10" w:type="dxa"/>
          <w:right w:w="10" w:type="dxa"/>
        </w:tblCellMar>
        <w:tblLook w:val="0000" w:firstRow="0" w:lastRow="0" w:firstColumn="0" w:lastColumn="0" w:noHBand="0" w:noVBand="0"/>
      </w:tblPr>
      <w:tblGrid>
        <w:gridCol w:w="4114"/>
        <w:gridCol w:w="3200"/>
        <w:gridCol w:w="2897"/>
      </w:tblGrid>
      <w:tr w:rsidR="00097DDE" w:rsidRPr="00097DDE" w:rsidTr="00946D1E">
        <w:trPr>
          <w:trHeight w:val="250"/>
        </w:trPr>
        <w:tc>
          <w:tcPr>
            <w:tcW w:w="4114" w:type="dxa"/>
            <w:tcBorders>
              <w:top w:val="single" w:sz="8" w:space="0" w:color="4F81BD"/>
              <w:left w:val="single" w:sz="8" w:space="0" w:color="4F81BD"/>
            </w:tcBorders>
            <w:shd w:val="clear" w:color="auto" w:fill="4F81BD"/>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Vrsta droga</w:t>
            </w:r>
          </w:p>
        </w:tc>
        <w:tc>
          <w:tcPr>
            <w:tcW w:w="6097" w:type="dxa"/>
            <w:gridSpan w:val="2"/>
            <w:tcBorders>
              <w:top w:val="single" w:sz="8" w:space="0" w:color="4F81BD"/>
              <w:right w:val="single" w:sz="8" w:space="0" w:color="4F81BD"/>
            </w:tcBorders>
            <w:shd w:val="clear" w:color="auto" w:fill="4F81BD"/>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Količina zaplijenjene droge</w:t>
            </w:r>
          </w:p>
        </w:tc>
      </w:tr>
      <w:tr w:rsidR="00097DDE" w:rsidRPr="00097DDE" w:rsidTr="00946D1E">
        <w:trPr>
          <w:trHeight w:val="233"/>
        </w:trPr>
        <w:tc>
          <w:tcPr>
            <w:tcW w:w="4114" w:type="dxa"/>
            <w:tcBorders>
              <w:top w:val="single" w:sz="8" w:space="0" w:color="4F81BD"/>
              <w:left w:val="single" w:sz="8" w:space="0" w:color="4F81BD"/>
              <w:bottom w:val="single" w:sz="8" w:space="0" w:color="4F81BD"/>
            </w:tcBorders>
            <w:shd w:val="clear" w:color="auto" w:fill="95B3D7"/>
            <w:tcMar>
              <w:top w:w="0" w:type="dxa"/>
              <w:left w:w="108" w:type="dxa"/>
              <w:bottom w:w="0" w:type="dxa"/>
              <w:right w:w="108" w:type="dxa"/>
            </w:tcMar>
          </w:tcPr>
          <w:p w:rsidR="00097DDE" w:rsidRPr="00097DDE" w:rsidRDefault="00097DDE" w:rsidP="00097DDE">
            <w:pPr>
              <w:jc w:val="both"/>
              <w:rPr>
                <w:rFonts w:ascii="Arial" w:hAnsi="Arial" w:cs="Arial"/>
                <w:b/>
                <w:bCs/>
                <w:sz w:val="20"/>
                <w:szCs w:val="20"/>
              </w:rPr>
            </w:pPr>
          </w:p>
        </w:tc>
        <w:tc>
          <w:tcPr>
            <w:tcW w:w="3200" w:type="dxa"/>
            <w:tcBorders>
              <w:top w:val="single" w:sz="8" w:space="0" w:color="4F81BD"/>
              <w:bottom w:val="single" w:sz="8" w:space="0" w:color="4F81BD"/>
            </w:tcBorders>
            <w:shd w:val="clear" w:color="auto" w:fill="95B3D7"/>
            <w:tcMar>
              <w:top w:w="0" w:type="dxa"/>
              <w:left w:w="108" w:type="dxa"/>
              <w:bottom w:w="0" w:type="dxa"/>
              <w:right w:w="108" w:type="dxa"/>
            </w:tcMar>
          </w:tcPr>
          <w:p w:rsidR="00097DDE" w:rsidRPr="00097DDE" w:rsidRDefault="00097DDE" w:rsidP="00097DDE">
            <w:pPr>
              <w:jc w:val="both"/>
              <w:rPr>
                <w:rFonts w:ascii="Arial" w:hAnsi="Arial" w:cs="Arial"/>
                <w:b/>
                <w:sz w:val="20"/>
                <w:szCs w:val="20"/>
              </w:rPr>
            </w:pPr>
            <w:r w:rsidRPr="00097DDE">
              <w:rPr>
                <w:rFonts w:ascii="Arial" w:hAnsi="Arial" w:cs="Arial"/>
                <w:b/>
                <w:sz w:val="20"/>
                <w:szCs w:val="20"/>
              </w:rPr>
              <w:t>2020.</w:t>
            </w:r>
          </w:p>
        </w:tc>
        <w:tc>
          <w:tcPr>
            <w:tcW w:w="2897" w:type="dxa"/>
            <w:tcBorders>
              <w:top w:val="single" w:sz="8" w:space="0" w:color="4F81BD"/>
              <w:bottom w:val="single" w:sz="8" w:space="0" w:color="4F81BD"/>
              <w:right w:val="single" w:sz="8" w:space="0" w:color="4F81BD"/>
            </w:tcBorders>
            <w:shd w:val="clear" w:color="auto" w:fill="95B3D7"/>
            <w:tcMar>
              <w:top w:w="0" w:type="dxa"/>
              <w:left w:w="108" w:type="dxa"/>
              <w:bottom w:w="0" w:type="dxa"/>
              <w:right w:w="108" w:type="dxa"/>
            </w:tcMar>
          </w:tcPr>
          <w:p w:rsidR="00097DDE" w:rsidRPr="00097DDE" w:rsidRDefault="00097DDE" w:rsidP="00097DDE">
            <w:pPr>
              <w:jc w:val="both"/>
              <w:rPr>
                <w:rFonts w:ascii="Arial" w:hAnsi="Arial" w:cs="Arial"/>
                <w:b/>
                <w:sz w:val="20"/>
                <w:szCs w:val="20"/>
              </w:rPr>
            </w:pPr>
            <w:r w:rsidRPr="00097DDE">
              <w:rPr>
                <w:rFonts w:ascii="Arial" w:hAnsi="Arial" w:cs="Arial"/>
                <w:b/>
                <w:sz w:val="20"/>
                <w:szCs w:val="20"/>
              </w:rPr>
              <w:t>2021.</w:t>
            </w:r>
          </w:p>
        </w:tc>
      </w:tr>
      <w:tr w:rsidR="00097DDE" w:rsidRPr="00097DDE" w:rsidTr="00946D1E">
        <w:trPr>
          <w:trHeight w:val="250"/>
        </w:trPr>
        <w:tc>
          <w:tcPr>
            <w:tcW w:w="4114" w:type="dxa"/>
            <w:tcBorders>
              <w:left w:val="single" w:sz="8" w:space="0" w:color="4F81BD"/>
            </w:tcBorders>
            <w:shd w:val="clear" w:color="auto" w:fill="DBE5F1"/>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Heroin (kg)</w:t>
            </w:r>
          </w:p>
        </w:tc>
        <w:tc>
          <w:tcPr>
            <w:tcW w:w="3200" w:type="dxa"/>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12,76</w:t>
            </w:r>
          </w:p>
        </w:tc>
        <w:tc>
          <w:tcPr>
            <w:tcW w:w="2897" w:type="dxa"/>
            <w:tcBorders>
              <w:right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249.7</w:t>
            </w:r>
          </w:p>
        </w:tc>
      </w:tr>
      <w:tr w:rsidR="00097DDE" w:rsidRPr="00097DDE" w:rsidTr="00946D1E">
        <w:trPr>
          <w:trHeight w:val="485"/>
        </w:trPr>
        <w:tc>
          <w:tcPr>
            <w:tcW w:w="4114" w:type="dxa"/>
            <w:tcBorders>
              <w:top w:val="single" w:sz="8" w:space="0" w:color="4F81BD"/>
              <w:left w:val="single" w:sz="8" w:space="0" w:color="4F81BD"/>
              <w:bottom w:val="single" w:sz="8" w:space="0" w:color="4F81BD"/>
            </w:tcBorders>
            <w:shd w:val="clear" w:color="auto" w:fill="DBE5F1"/>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Smola kanabisa (kg)</w:t>
            </w:r>
          </w:p>
        </w:tc>
        <w:tc>
          <w:tcPr>
            <w:tcW w:w="3200" w:type="dxa"/>
            <w:tcBorders>
              <w:top w:val="single" w:sz="8" w:space="0" w:color="4F81BD"/>
              <w:bottom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2,64</w:t>
            </w:r>
          </w:p>
        </w:tc>
        <w:tc>
          <w:tcPr>
            <w:tcW w:w="2897"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3,52</w:t>
            </w:r>
          </w:p>
        </w:tc>
      </w:tr>
      <w:tr w:rsidR="00097DDE" w:rsidRPr="00097DDE" w:rsidTr="00946D1E">
        <w:trPr>
          <w:trHeight w:val="250"/>
        </w:trPr>
        <w:tc>
          <w:tcPr>
            <w:tcW w:w="4114" w:type="dxa"/>
            <w:tcBorders>
              <w:left w:val="single" w:sz="8" w:space="0" w:color="4F81BD"/>
            </w:tcBorders>
            <w:shd w:val="clear" w:color="auto" w:fill="DBE5F1"/>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Biljni kanabis (kg)</w:t>
            </w:r>
          </w:p>
        </w:tc>
        <w:tc>
          <w:tcPr>
            <w:tcW w:w="3200" w:type="dxa"/>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1.683</w:t>
            </w:r>
          </w:p>
        </w:tc>
        <w:tc>
          <w:tcPr>
            <w:tcW w:w="2897" w:type="dxa"/>
            <w:tcBorders>
              <w:right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1.190</w:t>
            </w:r>
          </w:p>
        </w:tc>
      </w:tr>
      <w:tr w:rsidR="00097DDE" w:rsidRPr="00097DDE" w:rsidTr="00946D1E">
        <w:trPr>
          <w:trHeight w:val="233"/>
        </w:trPr>
        <w:tc>
          <w:tcPr>
            <w:tcW w:w="4114" w:type="dxa"/>
            <w:tcBorders>
              <w:top w:val="single" w:sz="8" w:space="0" w:color="4F81BD"/>
              <w:left w:val="single" w:sz="8" w:space="0" w:color="4F81BD"/>
              <w:bottom w:val="single" w:sz="8" w:space="0" w:color="4F81BD"/>
            </w:tcBorders>
            <w:shd w:val="clear" w:color="auto" w:fill="DBE5F1"/>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Kokain (kg)</w:t>
            </w:r>
          </w:p>
        </w:tc>
        <w:tc>
          <w:tcPr>
            <w:tcW w:w="3200" w:type="dxa"/>
            <w:tcBorders>
              <w:top w:val="single" w:sz="8" w:space="0" w:color="4F81BD"/>
              <w:bottom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60</w:t>
            </w:r>
          </w:p>
        </w:tc>
        <w:tc>
          <w:tcPr>
            <w:tcW w:w="2897"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745,04</w:t>
            </w:r>
          </w:p>
        </w:tc>
      </w:tr>
      <w:tr w:rsidR="00097DDE" w:rsidRPr="00097DDE" w:rsidTr="00946D1E">
        <w:trPr>
          <w:trHeight w:val="250"/>
        </w:trPr>
        <w:tc>
          <w:tcPr>
            <w:tcW w:w="4114" w:type="dxa"/>
            <w:tcBorders>
              <w:left w:val="single" w:sz="8" w:space="0" w:color="4F81BD"/>
            </w:tcBorders>
            <w:shd w:val="clear" w:color="auto" w:fill="DBE5F1"/>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Amfetamin (kg)</w:t>
            </w:r>
          </w:p>
        </w:tc>
        <w:tc>
          <w:tcPr>
            <w:tcW w:w="3200" w:type="dxa"/>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45,64</w:t>
            </w:r>
          </w:p>
        </w:tc>
        <w:tc>
          <w:tcPr>
            <w:tcW w:w="2897" w:type="dxa"/>
            <w:tcBorders>
              <w:right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110</w:t>
            </w:r>
          </w:p>
        </w:tc>
      </w:tr>
      <w:tr w:rsidR="00097DDE" w:rsidRPr="00097DDE" w:rsidTr="00946D1E">
        <w:trPr>
          <w:trHeight w:val="250"/>
        </w:trPr>
        <w:tc>
          <w:tcPr>
            <w:tcW w:w="4114" w:type="dxa"/>
            <w:tcBorders>
              <w:top w:val="single" w:sz="8" w:space="0" w:color="4F81BD"/>
              <w:left w:val="single" w:sz="8" w:space="0" w:color="4F81BD"/>
              <w:bottom w:val="single" w:sz="8" w:space="0" w:color="4F81BD"/>
            </w:tcBorders>
            <w:shd w:val="clear" w:color="auto" w:fill="DBE5F1"/>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Metadon (tablete)</w:t>
            </w:r>
          </w:p>
        </w:tc>
        <w:tc>
          <w:tcPr>
            <w:tcW w:w="3200" w:type="dxa"/>
            <w:tcBorders>
              <w:top w:val="single" w:sz="8" w:space="0" w:color="4F81BD"/>
              <w:bottom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564</w:t>
            </w:r>
          </w:p>
        </w:tc>
        <w:tc>
          <w:tcPr>
            <w:tcW w:w="2897"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N/A</w:t>
            </w:r>
          </w:p>
        </w:tc>
      </w:tr>
      <w:tr w:rsidR="00097DDE" w:rsidRPr="00097DDE" w:rsidTr="00946D1E">
        <w:trPr>
          <w:trHeight w:val="233"/>
        </w:trPr>
        <w:tc>
          <w:tcPr>
            <w:tcW w:w="4114" w:type="dxa"/>
            <w:tcBorders>
              <w:left w:val="single" w:sz="8" w:space="0" w:color="4F81BD"/>
            </w:tcBorders>
            <w:shd w:val="clear" w:color="auto" w:fill="DBE5F1"/>
            <w:tcMar>
              <w:top w:w="0" w:type="dxa"/>
              <w:left w:w="108" w:type="dxa"/>
              <w:bottom w:w="0" w:type="dxa"/>
              <w:right w:w="108" w:type="dxa"/>
            </w:tcMar>
          </w:tcPr>
          <w:p w:rsidR="00097DDE" w:rsidRPr="00097DDE" w:rsidRDefault="00097DDE" w:rsidP="00097DDE">
            <w:pPr>
              <w:jc w:val="both"/>
              <w:rPr>
                <w:rFonts w:ascii="Arial" w:hAnsi="Arial" w:cs="Arial"/>
                <w:sz w:val="20"/>
                <w:szCs w:val="20"/>
              </w:rPr>
            </w:pPr>
            <w:proofErr w:type="spellStart"/>
            <w:r w:rsidRPr="00097DDE">
              <w:rPr>
                <w:rFonts w:ascii="Arial" w:hAnsi="Arial" w:cs="Arial"/>
                <w:sz w:val="20"/>
                <w:szCs w:val="20"/>
              </w:rPr>
              <w:t>Ecstasy</w:t>
            </w:r>
            <w:proofErr w:type="spellEnd"/>
            <w:r w:rsidRPr="00097DDE">
              <w:rPr>
                <w:rFonts w:ascii="Arial" w:hAnsi="Arial" w:cs="Arial"/>
                <w:sz w:val="20"/>
                <w:szCs w:val="20"/>
              </w:rPr>
              <w:t xml:space="preserve"> (kg)</w:t>
            </w:r>
          </w:p>
        </w:tc>
        <w:tc>
          <w:tcPr>
            <w:tcW w:w="3200" w:type="dxa"/>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3,65</w:t>
            </w:r>
          </w:p>
        </w:tc>
        <w:tc>
          <w:tcPr>
            <w:tcW w:w="2897" w:type="dxa"/>
            <w:tcBorders>
              <w:right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7,13</w:t>
            </w:r>
          </w:p>
        </w:tc>
      </w:tr>
      <w:tr w:rsidR="00097DDE" w:rsidRPr="00097DDE" w:rsidTr="00946D1E">
        <w:trPr>
          <w:trHeight w:val="250"/>
        </w:trPr>
        <w:tc>
          <w:tcPr>
            <w:tcW w:w="4114" w:type="dxa"/>
            <w:tcBorders>
              <w:top w:val="single" w:sz="8" w:space="0" w:color="4F81BD"/>
              <w:left w:val="single" w:sz="8" w:space="0" w:color="4F81BD"/>
              <w:bottom w:val="single" w:sz="8" w:space="0" w:color="4F81BD"/>
            </w:tcBorders>
            <w:shd w:val="clear" w:color="auto" w:fill="DBE5F1"/>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LSD (doza)</w:t>
            </w:r>
          </w:p>
        </w:tc>
        <w:tc>
          <w:tcPr>
            <w:tcW w:w="3200" w:type="dxa"/>
            <w:tcBorders>
              <w:top w:val="single" w:sz="8" w:space="0" w:color="4F81BD"/>
              <w:bottom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469</w:t>
            </w:r>
          </w:p>
        </w:tc>
        <w:tc>
          <w:tcPr>
            <w:tcW w:w="2897"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97DDE" w:rsidRPr="00097DDE" w:rsidRDefault="00097DDE" w:rsidP="00097DDE">
            <w:pPr>
              <w:jc w:val="both"/>
              <w:rPr>
                <w:rFonts w:ascii="Arial" w:hAnsi="Arial" w:cs="Arial"/>
                <w:sz w:val="20"/>
                <w:szCs w:val="20"/>
              </w:rPr>
            </w:pPr>
            <w:r w:rsidRPr="00097DDE">
              <w:rPr>
                <w:rFonts w:ascii="Arial" w:hAnsi="Arial" w:cs="Arial"/>
                <w:sz w:val="20"/>
                <w:szCs w:val="20"/>
              </w:rPr>
              <w:t>952</w:t>
            </w:r>
          </w:p>
        </w:tc>
      </w:tr>
    </w:tbl>
    <w:p w:rsidR="00097DDE" w:rsidRPr="00097DDE" w:rsidRDefault="00097DDE" w:rsidP="00097DDE">
      <w:pPr>
        <w:jc w:val="both"/>
        <w:rPr>
          <w:rFonts w:ascii="Arial" w:hAnsi="Arial" w:cs="Arial"/>
          <w:i/>
          <w:sz w:val="20"/>
          <w:szCs w:val="20"/>
        </w:rPr>
      </w:pPr>
      <w:r w:rsidRPr="00097DDE">
        <w:rPr>
          <w:rFonts w:ascii="Arial" w:hAnsi="Arial" w:cs="Arial"/>
          <w:i/>
          <w:sz w:val="20"/>
          <w:szCs w:val="20"/>
        </w:rPr>
        <w:t xml:space="preserve">Izvor: Ministarstvo unutarnjih poslova </w:t>
      </w:r>
    </w:p>
    <w:p w:rsidR="00097DDE" w:rsidRPr="00097DDE" w:rsidRDefault="00097DDE" w:rsidP="00097DDE">
      <w:pPr>
        <w:jc w:val="both"/>
        <w:rPr>
          <w:rFonts w:ascii="Arial" w:hAnsi="Arial" w:cs="Arial"/>
          <w:i/>
          <w:sz w:val="20"/>
          <w:szCs w:val="20"/>
        </w:rPr>
      </w:pPr>
    </w:p>
    <w:p w:rsidR="00097DDE" w:rsidRPr="00097DDE" w:rsidRDefault="00097DDE" w:rsidP="00097DDE">
      <w:pPr>
        <w:jc w:val="both"/>
        <w:rPr>
          <w:rFonts w:ascii="Arial" w:hAnsi="Arial" w:cs="Arial"/>
          <w:sz w:val="20"/>
          <w:szCs w:val="20"/>
        </w:rPr>
      </w:pPr>
      <w:r w:rsidRPr="00097DDE">
        <w:rPr>
          <w:rFonts w:ascii="Arial" w:hAnsi="Arial" w:cs="Arial"/>
          <w:sz w:val="20"/>
          <w:szCs w:val="20"/>
        </w:rPr>
        <w:t xml:space="preserve">U Republici Hrvatskoj je u 2021. godini otkriveno 9 novih </w:t>
      </w:r>
      <w:proofErr w:type="spellStart"/>
      <w:r w:rsidRPr="00097DDE">
        <w:rPr>
          <w:rFonts w:ascii="Arial" w:hAnsi="Arial" w:cs="Arial"/>
          <w:sz w:val="20"/>
          <w:szCs w:val="20"/>
        </w:rPr>
        <w:t>psihoaktivnih</w:t>
      </w:r>
      <w:proofErr w:type="spellEnd"/>
      <w:r w:rsidRPr="00097DDE">
        <w:rPr>
          <w:rFonts w:ascii="Arial" w:hAnsi="Arial" w:cs="Arial"/>
          <w:sz w:val="20"/>
          <w:szCs w:val="20"/>
        </w:rPr>
        <w:t xml:space="preserve"> tvari. </w:t>
      </w:r>
    </w:p>
    <w:p w:rsidR="00097DDE" w:rsidRPr="00097DDE" w:rsidRDefault="00097DDE" w:rsidP="00097DDE">
      <w:pPr>
        <w:jc w:val="both"/>
        <w:rPr>
          <w:rFonts w:ascii="Arial" w:hAnsi="Arial" w:cs="Arial"/>
          <w:sz w:val="20"/>
          <w:szCs w:val="20"/>
        </w:rPr>
      </w:pPr>
    </w:p>
    <w:p w:rsidR="00097DDE" w:rsidRPr="00097DDE" w:rsidRDefault="00097DDE" w:rsidP="00097DDE">
      <w:pPr>
        <w:jc w:val="both"/>
        <w:rPr>
          <w:rFonts w:ascii="Arial" w:hAnsi="Arial" w:cs="Arial"/>
          <w:sz w:val="20"/>
          <w:szCs w:val="20"/>
        </w:rPr>
      </w:pPr>
      <w:r w:rsidRPr="00097DDE">
        <w:rPr>
          <w:rFonts w:ascii="Arial" w:hAnsi="Arial" w:cs="Arial"/>
          <w:sz w:val="20"/>
          <w:szCs w:val="20"/>
        </w:rPr>
        <w:t xml:space="preserve">Tijekom 2021. godine u zdravstvenim ustanovama Republike Hrvatske, registrirano je 5.378 osoba liječenih zbog ovisnosti o </w:t>
      </w:r>
      <w:proofErr w:type="spellStart"/>
      <w:r w:rsidRPr="00097DDE">
        <w:rPr>
          <w:rFonts w:ascii="Arial" w:hAnsi="Arial" w:cs="Arial"/>
          <w:sz w:val="20"/>
          <w:szCs w:val="20"/>
        </w:rPr>
        <w:t>psihoaktivnim</w:t>
      </w:r>
      <w:proofErr w:type="spellEnd"/>
      <w:r w:rsidRPr="00097DDE">
        <w:rPr>
          <w:rFonts w:ascii="Arial" w:hAnsi="Arial" w:cs="Arial"/>
          <w:sz w:val="20"/>
          <w:szCs w:val="20"/>
        </w:rPr>
        <w:t xml:space="preserve"> drogama, od kojih je 518 po prvi put bilo na liječenju. Zbog zlouporabe opijata tijekom 2021. godine na liječenju je bilo 4.467 osoba, od kojih je 126 bilo liječeno po prvi puta. Nastavlja se trend smanjenja broja novo</w:t>
      </w:r>
      <w:bookmarkStart w:id="0" w:name="_GoBack"/>
      <w:bookmarkEnd w:id="0"/>
      <w:r w:rsidRPr="00097DDE">
        <w:rPr>
          <w:rFonts w:ascii="Arial" w:hAnsi="Arial" w:cs="Arial"/>
          <w:sz w:val="20"/>
          <w:szCs w:val="20"/>
        </w:rPr>
        <w:t xml:space="preserve">liječenih zbog uzimanja opijata. </w:t>
      </w:r>
    </w:p>
    <w:p w:rsidR="00097DDE" w:rsidRPr="00097DDE" w:rsidRDefault="00097DDE" w:rsidP="00097DDE">
      <w:pPr>
        <w:jc w:val="both"/>
        <w:rPr>
          <w:rFonts w:ascii="Arial" w:hAnsi="Arial" w:cs="Arial"/>
          <w:sz w:val="20"/>
          <w:szCs w:val="20"/>
        </w:rPr>
      </w:pPr>
    </w:p>
    <w:p w:rsidR="00097DDE" w:rsidRPr="00097DDE" w:rsidRDefault="00097DDE" w:rsidP="00097DDE">
      <w:pPr>
        <w:numPr>
          <w:ilvl w:val="0"/>
          <w:numId w:val="15"/>
        </w:numPr>
        <w:jc w:val="both"/>
        <w:rPr>
          <w:rFonts w:ascii="Arial" w:hAnsi="Arial" w:cs="Arial"/>
          <w:i/>
          <w:sz w:val="20"/>
          <w:szCs w:val="20"/>
        </w:rPr>
      </w:pPr>
      <w:r w:rsidRPr="00097DDE">
        <w:rPr>
          <w:rFonts w:ascii="Arial" w:hAnsi="Arial" w:cs="Arial"/>
          <w:i/>
          <w:sz w:val="20"/>
          <w:szCs w:val="20"/>
        </w:rPr>
        <w:t xml:space="preserve">Broj osoba liječenih zbog zlouporabe </w:t>
      </w:r>
      <w:proofErr w:type="spellStart"/>
      <w:r w:rsidRPr="00097DDE">
        <w:rPr>
          <w:rFonts w:ascii="Arial" w:hAnsi="Arial" w:cs="Arial"/>
          <w:i/>
          <w:sz w:val="20"/>
          <w:szCs w:val="20"/>
        </w:rPr>
        <w:t>psihoaktivnih</w:t>
      </w:r>
      <w:proofErr w:type="spellEnd"/>
      <w:r w:rsidRPr="00097DDE">
        <w:rPr>
          <w:rFonts w:ascii="Arial" w:hAnsi="Arial" w:cs="Arial"/>
          <w:i/>
          <w:sz w:val="20"/>
          <w:szCs w:val="20"/>
        </w:rPr>
        <w:t xml:space="preserve"> droga u RH </w:t>
      </w:r>
    </w:p>
    <w:p w:rsidR="00097DDE" w:rsidRPr="00097DDE" w:rsidRDefault="00097DDE" w:rsidP="00097DDE">
      <w:pPr>
        <w:jc w:val="both"/>
        <w:rPr>
          <w:rFonts w:ascii="Arial" w:hAnsi="Arial" w:cs="Arial"/>
          <w:sz w:val="20"/>
          <w:szCs w:val="20"/>
        </w:rPr>
      </w:pPr>
    </w:p>
    <w:p w:rsidR="00097DDE" w:rsidRPr="00097DDE" w:rsidRDefault="00097DDE" w:rsidP="00097DDE">
      <w:pPr>
        <w:jc w:val="both"/>
        <w:rPr>
          <w:rFonts w:ascii="Arial" w:hAnsi="Arial" w:cs="Arial"/>
          <w:sz w:val="20"/>
          <w:szCs w:val="20"/>
        </w:rPr>
      </w:pPr>
      <w:r w:rsidRPr="00097DDE">
        <w:rPr>
          <w:rFonts w:ascii="Arial" w:hAnsi="Arial" w:cs="Arial"/>
          <w:noProof/>
          <w:sz w:val="20"/>
          <w:szCs w:val="20"/>
        </w:rPr>
        <w:drawing>
          <wp:inline distT="0" distB="0" distL="0" distR="0" wp14:anchorId="5258BFAB" wp14:editId="31BDE355">
            <wp:extent cx="6505571" cy="2076446"/>
            <wp:effectExtent l="0" t="0" r="0" b="0"/>
            <wp:docPr id="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518D" w:rsidRDefault="00097DDE" w:rsidP="00097DDE">
      <w:pPr>
        <w:jc w:val="both"/>
        <w:rPr>
          <w:rFonts w:ascii="Arial" w:hAnsi="Arial" w:cs="Arial"/>
          <w:i/>
          <w:sz w:val="20"/>
          <w:szCs w:val="20"/>
        </w:rPr>
      </w:pPr>
      <w:r w:rsidRPr="00097DDE">
        <w:rPr>
          <w:rFonts w:ascii="Arial" w:hAnsi="Arial" w:cs="Arial"/>
          <w:i/>
          <w:sz w:val="20"/>
          <w:szCs w:val="20"/>
        </w:rPr>
        <w:t>Izvor: Hrvatski zavod za javno zdravstvo</w:t>
      </w:r>
    </w:p>
    <w:p w:rsidR="00352587" w:rsidRDefault="00352587" w:rsidP="00097DDE">
      <w:pPr>
        <w:jc w:val="both"/>
        <w:rPr>
          <w:rFonts w:ascii="Arial" w:hAnsi="Arial" w:cs="Arial"/>
          <w:i/>
          <w:sz w:val="20"/>
          <w:szCs w:val="20"/>
        </w:rPr>
      </w:pPr>
    </w:p>
    <w:p w:rsidR="00352587" w:rsidRPr="00352587" w:rsidRDefault="00352587" w:rsidP="00097DDE">
      <w:pPr>
        <w:jc w:val="both"/>
        <w:rPr>
          <w:rFonts w:ascii="Arial" w:hAnsi="Arial" w:cs="Arial"/>
          <w:sz w:val="20"/>
          <w:szCs w:val="20"/>
        </w:rPr>
      </w:pPr>
      <w:r w:rsidRPr="00352587">
        <w:rPr>
          <w:rFonts w:ascii="Arial" w:hAnsi="Arial" w:cs="Arial"/>
          <w:sz w:val="20"/>
          <w:szCs w:val="20"/>
        </w:rPr>
        <w:t xml:space="preserve">Prema teritorijalnoj zastupljenosti, najveći broj osoba </w:t>
      </w:r>
      <w:r w:rsidR="00701F58">
        <w:rPr>
          <w:rFonts w:ascii="Arial" w:hAnsi="Arial" w:cs="Arial"/>
          <w:sz w:val="20"/>
          <w:szCs w:val="20"/>
        </w:rPr>
        <w:t>liječenih zbog</w:t>
      </w:r>
      <w:r w:rsidR="00E103ED">
        <w:rPr>
          <w:rFonts w:ascii="Arial" w:hAnsi="Arial" w:cs="Arial"/>
          <w:sz w:val="20"/>
          <w:szCs w:val="20"/>
        </w:rPr>
        <w:t xml:space="preserve"> </w:t>
      </w:r>
      <w:r w:rsidRPr="00352587">
        <w:rPr>
          <w:rFonts w:ascii="Arial" w:hAnsi="Arial" w:cs="Arial"/>
          <w:sz w:val="20"/>
          <w:szCs w:val="20"/>
        </w:rPr>
        <w:t>ovisnosti o drogama među radno aktivnim stanovništvom (15</w:t>
      </w:r>
      <w:r w:rsidR="00E103ED">
        <w:rPr>
          <w:rFonts w:ascii="Arial" w:hAnsi="Arial" w:cs="Arial"/>
          <w:sz w:val="20"/>
          <w:szCs w:val="20"/>
        </w:rPr>
        <w:t xml:space="preserve"> </w:t>
      </w:r>
      <w:r w:rsidRPr="00352587">
        <w:rPr>
          <w:rFonts w:ascii="Arial" w:hAnsi="Arial" w:cs="Arial"/>
          <w:sz w:val="20"/>
          <w:szCs w:val="20"/>
        </w:rPr>
        <w:t>-</w:t>
      </w:r>
      <w:r w:rsidR="00E103ED">
        <w:rPr>
          <w:rFonts w:ascii="Arial" w:hAnsi="Arial" w:cs="Arial"/>
          <w:sz w:val="20"/>
          <w:szCs w:val="20"/>
        </w:rPr>
        <w:t xml:space="preserve"> </w:t>
      </w:r>
      <w:r w:rsidR="00201BE9">
        <w:rPr>
          <w:rFonts w:ascii="Arial" w:hAnsi="Arial" w:cs="Arial"/>
          <w:sz w:val="20"/>
          <w:szCs w:val="20"/>
        </w:rPr>
        <w:t>64 godine</w:t>
      </w:r>
      <w:r w:rsidRPr="00352587">
        <w:rPr>
          <w:rFonts w:ascii="Arial" w:hAnsi="Arial" w:cs="Arial"/>
          <w:sz w:val="20"/>
          <w:szCs w:val="20"/>
        </w:rPr>
        <w:t>)</w:t>
      </w:r>
      <w:r>
        <w:rPr>
          <w:rFonts w:ascii="Arial" w:hAnsi="Arial" w:cs="Arial"/>
          <w:sz w:val="20"/>
          <w:szCs w:val="20"/>
        </w:rPr>
        <w:t xml:space="preserve"> registriran je u </w:t>
      </w:r>
      <w:r w:rsidRPr="00352587">
        <w:rPr>
          <w:rFonts w:ascii="Arial" w:hAnsi="Arial" w:cs="Arial"/>
          <w:sz w:val="20"/>
          <w:szCs w:val="20"/>
        </w:rPr>
        <w:t>Grad</w:t>
      </w:r>
      <w:r>
        <w:rPr>
          <w:rFonts w:ascii="Arial" w:hAnsi="Arial" w:cs="Arial"/>
          <w:sz w:val="20"/>
          <w:szCs w:val="20"/>
        </w:rPr>
        <w:t>u</w:t>
      </w:r>
      <w:r w:rsidRPr="00352587">
        <w:rPr>
          <w:rFonts w:ascii="Arial" w:hAnsi="Arial" w:cs="Arial"/>
          <w:sz w:val="20"/>
          <w:szCs w:val="20"/>
        </w:rPr>
        <w:t xml:space="preserve"> Zagreb</w:t>
      </w:r>
      <w:r>
        <w:rPr>
          <w:rFonts w:ascii="Arial" w:hAnsi="Arial" w:cs="Arial"/>
          <w:sz w:val="20"/>
          <w:szCs w:val="20"/>
        </w:rPr>
        <w:t>u (1.177), Splitsko-dalmatinskoj (780) i Istarskoj županiji</w:t>
      </w:r>
      <w:r w:rsidRPr="00352587">
        <w:rPr>
          <w:rFonts w:ascii="Arial" w:hAnsi="Arial" w:cs="Arial"/>
          <w:sz w:val="20"/>
          <w:szCs w:val="20"/>
        </w:rPr>
        <w:t xml:space="preserve"> (688). U usporedbi s prethodnom godinom, povećanje broja </w:t>
      </w:r>
      <w:r w:rsidR="00701F58">
        <w:rPr>
          <w:rFonts w:ascii="Arial" w:hAnsi="Arial" w:cs="Arial"/>
          <w:sz w:val="20"/>
          <w:szCs w:val="20"/>
        </w:rPr>
        <w:t xml:space="preserve">liječenih osoba zbog problema </w:t>
      </w:r>
      <w:r w:rsidRPr="00352587">
        <w:rPr>
          <w:rFonts w:ascii="Arial" w:hAnsi="Arial" w:cs="Arial"/>
          <w:sz w:val="20"/>
          <w:szCs w:val="20"/>
        </w:rPr>
        <w:t>ovisnosti o drogama bilježi se u osam županija: Gradu Zagrebu, Ličko-senjskoj, Brodsko-posavskoj, Osječko-baranjskoj, Šibensko-kninskoj, Istarskoj, Varaždinskoj i Međimurskoj županiji.</w:t>
      </w:r>
      <w:r w:rsidR="00E103ED" w:rsidRPr="00E103ED">
        <w:rPr>
          <w:rFonts w:ascii="Arial" w:hAnsi="Arial" w:cs="Arial"/>
          <w:sz w:val="20"/>
          <w:szCs w:val="20"/>
        </w:rPr>
        <w:t xml:space="preserve"> </w:t>
      </w:r>
      <w:r w:rsidR="00E103ED" w:rsidRPr="00701F58">
        <w:rPr>
          <w:rFonts w:ascii="Arial" w:hAnsi="Arial" w:cs="Arial"/>
          <w:sz w:val="20"/>
          <w:szCs w:val="20"/>
        </w:rPr>
        <w:t xml:space="preserve">Najveći broj prvi put liječenih osoba zbog </w:t>
      </w:r>
      <w:r w:rsidR="00E103ED">
        <w:rPr>
          <w:rFonts w:ascii="Arial" w:hAnsi="Arial" w:cs="Arial"/>
          <w:sz w:val="20"/>
          <w:szCs w:val="20"/>
        </w:rPr>
        <w:t xml:space="preserve">ovisnosti </w:t>
      </w:r>
      <w:r w:rsidR="00E103ED" w:rsidRPr="00701F58">
        <w:rPr>
          <w:rFonts w:ascii="Arial" w:hAnsi="Arial" w:cs="Arial"/>
          <w:sz w:val="20"/>
          <w:szCs w:val="20"/>
        </w:rPr>
        <w:t>zabilježen je u Gradu Zagrebu (115), Splitsko-dalmatinskoj (90), Osječko-baranjskoj (54) te Istarskoj županiji (</w:t>
      </w:r>
      <w:r w:rsidR="00E103ED">
        <w:rPr>
          <w:rFonts w:ascii="Arial" w:hAnsi="Arial" w:cs="Arial"/>
          <w:sz w:val="20"/>
          <w:szCs w:val="20"/>
        </w:rPr>
        <w:t>51</w:t>
      </w:r>
      <w:r w:rsidR="00E103ED" w:rsidRPr="00701F58">
        <w:rPr>
          <w:rFonts w:ascii="Arial" w:hAnsi="Arial" w:cs="Arial"/>
          <w:sz w:val="20"/>
          <w:szCs w:val="20"/>
        </w:rPr>
        <w:t>).</w:t>
      </w:r>
    </w:p>
    <w:p w:rsidR="00352587" w:rsidRDefault="00352587" w:rsidP="00097DDE">
      <w:pPr>
        <w:jc w:val="both"/>
        <w:rPr>
          <w:rFonts w:ascii="Arial" w:hAnsi="Arial" w:cs="Arial"/>
          <w:i/>
          <w:sz w:val="20"/>
          <w:szCs w:val="20"/>
        </w:rPr>
      </w:pPr>
    </w:p>
    <w:p w:rsidR="00615123" w:rsidRPr="00701F58" w:rsidRDefault="00701F58" w:rsidP="00097DDE">
      <w:pPr>
        <w:jc w:val="both"/>
        <w:rPr>
          <w:rFonts w:ascii="Arial" w:hAnsi="Arial" w:cs="Arial"/>
          <w:sz w:val="20"/>
          <w:szCs w:val="20"/>
        </w:rPr>
      </w:pPr>
      <w:r w:rsidRPr="00701F58">
        <w:rPr>
          <w:rFonts w:ascii="Arial" w:hAnsi="Arial" w:cs="Arial"/>
          <w:sz w:val="20"/>
          <w:szCs w:val="20"/>
        </w:rPr>
        <w:t>O</w:t>
      </w:r>
      <w:r w:rsidR="00615123" w:rsidRPr="00701F58">
        <w:rPr>
          <w:rFonts w:ascii="Arial" w:hAnsi="Arial" w:cs="Arial"/>
          <w:sz w:val="20"/>
          <w:szCs w:val="20"/>
        </w:rPr>
        <w:t xml:space="preserve">sobe </w:t>
      </w:r>
      <w:r>
        <w:rPr>
          <w:rFonts w:ascii="Arial" w:hAnsi="Arial" w:cs="Arial"/>
          <w:sz w:val="20"/>
          <w:szCs w:val="20"/>
        </w:rPr>
        <w:t xml:space="preserve">liječene zbog ovisnosti o opijatima brojčano su najzastupljenije </w:t>
      </w:r>
      <w:r w:rsidR="00615123" w:rsidRPr="00701F58">
        <w:rPr>
          <w:rFonts w:ascii="Arial" w:hAnsi="Arial" w:cs="Arial"/>
          <w:sz w:val="20"/>
          <w:szCs w:val="20"/>
        </w:rPr>
        <w:t>u Grad</w:t>
      </w:r>
      <w:r>
        <w:rPr>
          <w:rFonts w:ascii="Arial" w:hAnsi="Arial" w:cs="Arial"/>
          <w:sz w:val="20"/>
          <w:szCs w:val="20"/>
        </w:rPr>
        <w:t>u</w:t>
      </w:r>
      <w:r w:rsidR="00615123" w:rsidRPr="00701F58">
        <w:rPr>
          <w:rFonts w:ascii="Arial" w:hAnsi="Arial" w:cs="Arial"/>
          <w:sz w:val="20"/>
          <w:szCs w:val="20"/>
        </w:rPr>
        <w:t xml:space="preserve"> Zagreb</w:t>
      </w:r>
      <w:r>
        <w:rPr>
          <w:rFonts w:ascii="Arial" w:hAnsi="Arial" w:cs="Arial"/>
          <w:sz w:val="20"/>
          <w:szCs w:val="20"/>
        </w:rPr>
        <w:t>u (902), Splitsko-dalmatinskoj (638), Istarskoj (591), Zadarskoj (517) i Primorsko-goranskoj županiji</w:t>
      </w:r>
      <w:r w:rsidR="00615123" w:rsidRPr="00701F58">
        <w:rPr>
          <w:rFonts w:ascii="Arial" w:hAnsi="Arial" w:cs="Arial"/>
          <w:sz w:val="20"/>
          <w:szCs w:val="20"/>
        </w:rPr>
        <w:t xml:space="preserve"> (490). U ostalim županijama u 2021. godini zabi</w:t>
      </w:r>
      <w:r>
        <w:rPr>
          <w:rFonts w:ascii="Arial" w:hAnsi="Arial" w:cs="Arial"/>
          <w:sz w:val="20"/>
          <w:szCs w:val="20"/>
        </w:rPr>
        <w:t>lježeno je manje od 250 osoba liječ</w:t>
      </w:r>
      <w:r w:rsidR="00A96EC4">
        <w:rPr>
          <w:rFonts w:ascii="Arial" w:hAnsi="Arial" w:cs="Arial"/>
          <w:sz w:val="20"/>
          <w:szCs w:val="20"/>
        </w:rPr>
        <w:t>enih zbog ovisnosti o opijatima.</w:t>
      </w:r>
    </w:p>
    <w:p w:rsidR="00352587" w:rsidRDefault="00352587" w:rsidP="00097DDE">
      <w:pPr>
        <w:jc w:val="both"/>
        <w:rPr>
          <w:rFonts w:ascii="Arial" w:hAnsi="Arial" w:cs="Arial"/>
          <w:i/>
          <w:sz w:val="20"/>
          <w:szCs w:val="20"/>
        </w:rPr>
      </w:pPr>
    </w:p>
    <w:p w:rsidR="007B3C56" w:rsidRDefault="007B3C56" w:rsidP="00097DDE">
      <w:pPr>
        <w:jc w:val="both"/>
        <w:rPr>
          <w:rFonts w:ascii="Arial" w:hAnsi="Arial" w:cs="Arial"/>
          <w:i/>
          <w:sz w:val="20"/>
          <w:szCs w:val="20"/>
        </w:rPr>
      </w:pPr>
    </w:p>
    <w:p w:rsidR="007B3C56" w:rsidRDefault="007B3C56" w:rsidP="00097DDE">
      <w:pPr>
        <w:jc w:val="both"/>
        <w:rPr>
          <w:rFonts w:ascii="Arial" w:hAnsi="Arial" w:cs="Arial"/>
          <w:sz w:val="20"/>
          <w:szCs w:val="20"/>
        </w:rPr>
      </w:pPr>
    </w:p>
    <w:sectPr w:rsidR="007B3C56" w:rsidSect="00225CD4">
      <w:type w:val="continuous"/>
      <w:pgSz w:w="11906" w:h="16838"/>
      <w:pgMar w:top="1417" w:right="707" w:bottom="1417"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54BD8" w16cex:dateUtc="2020-06-05T20:55:00Z"/>
  <w16cex:commentExtensible w16cex:durableId="22854C26" w16cex:dateUtc="2020-06-05T20:56:00Z"/>
  <w16cex:commentExtensible w16cex:durableId="22854CC8" w16cex:dateUtc="2020-06-05T20:59:00Z"/>
  <w16cex:commentExtensible w16cex:durableId="22854CEE" w16cex:dateUtc="2020-06-05T20:59:00Z"/>
  <w16cex:commentExtensible w16cex:durableId="22854D1C" w16cex:dateUtc="2020-06-05T21:00:00Z"/>
  <w16cex:commentExtensible w16cex:durableId="22854D68" w16cex:dateUtc="2020-06-05T21:02:00Z"/>
  <w16cex:commentExtensible w16cex:durableId="22854E07" w16cex:dateUtc="2020-06-05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7F5767" w16cid:durableId="22854BD8"/>
  <w16cid:commentId w16cid:paraId="0B48B7E7" w16cid:durableId="22854C26"/>
  <w16cid:commentId w16cid:paraId="7FC3D635" w16cid:durableId="22854CC8"/>
  <w16cid:commentId w16cid:paraId="16FD9F6D" w16cid:durableId="22854CEE"/>
  <w16cid:commentId w16cid:paraId="1AD9C8EE" w16cid:durableId="22854D1C"/>
  <w16cid:commentId w16cid:paraId="2FFE0C02" w16cid:durableId="22854D68"/>
  <w16cid:commentId w16cid:paraId="401F6F62" w16cid:durableId="22854E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AB" w:rsidRDefault="00B919AB" w:rsidP="00D06929">
      <w:r>
        <w:separator/>
      </w:r>
    </w:p>
  </w:endnote>
  <w:endnote w:type="continuationSeparator" w:id="0">
    <w:p w:rsidR="00B919AB" w:rsidRDefault="00B919AB" w:rsidP="00D0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ivia Sans Book">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7157"/>
      <w:docPartObj>
        <w:docPartGallery w:val="Page Numbers (Bottom of Page)"/>
        <w:docPartUnique/>
      </w:docPartObj>
    </w:sdtPr>
    <w:sdtEndPr/>
    <w:sdtContent>
      <w:p w:rsidR="009C7818" w:rsidRDefault="00727AF6">
        <w:pPr>
          <w:pStyle w:val="Podnoje"/>
          <w:jc w:val="center"/>
        </w:pPr>
        <w:r>
          <w:fldChar w:fldCharType="begin"/>
        </w:r>
        <w:r w:rsidR="0076779A">
          <w:instrText xml:space="preserve"> PAGE   \* MERGEFORMAT </w:instrText>
        </w:r>
        <w:r>
          <w:fldChar w:fldCharType="separate"/>
        </w:r>
        <w:r w:rsidR="00B04315">
          <w:rPr>
            <w:noProof/>
          </w:rPr>
          <w:t>1</w:t>
        </w:r>
        <w:r>
          <w:rPr>
            <w:noProof/>
          </w:rPr>
          <w:fldChar w:fldCharType="end"/>
        </w:r>
      </w:p>
    </w:sdtContent>
  </w:sdt>
  <w:p w:rsidR="009C7818" w:rsidRDefault="009C7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5013"/>
      <w:docPartObj>
        <w:docPartGallery w:val="Page Numbers (Bottom of Page)"/>
        <w:docPartUnique/>
      </w:docPartObj>
    </w:sdtPr>
    <w:sdtEndPr/>
    <w:sdtContent>
      <w:p w:rsidR="004F7AF6" w:rsidRDefault="00727AF6" w:rsidP="009C7818">
        <w:pPr>
          <w:pStyle w:val="Podnoje"/>
          <w:jc w:val="center"/>
        </w:pPr>
        <w:r>
          <w:rPr>
            <w:noProof/>
          </w:rPr>
          <w:fldChar w:fldCharType="begin"/>
        </w:r>
        <w:r w:rsidR="004F7AF6">
          <w:rPr>
            <w:noProof/>
          </w:rPr>
          <w:instrText xml:space="preserve"> PAGE   \* MERGEFORMAT </w:instrText>
        </w:r>
        <w:r>
          <w:rPr>
            <w:noProof/>
          </w:rPr>
          <w:fldChar w:fldCharType="separate"/>
        </w:r>
        <w:r w:rsidR="00B04315">
          <w:rPr>
            <w:noProof/>
          </w:rPr>
          <w:t>6</w:t>
        </w:r>
        <w:r>
          <w:rPr>
            <w:noProof/>
          </w:rPr>
          <w:fldChar w:fldCharType="end"/>
        </w:r>
      </w:p>
    </w:sdtContent>
  </w:sdt>
  <w:p w:rsidR="004F7AF6" w:rsidRDefault="004F7AF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AB" w:rsidRDefault="00B919AB" w:rsidP="00D06929">
      <w:r>
        <w:separator/>
      </w:r>
    </w:p>
  </w:footnote>
  <w:footnote w:type="continuationSeparator" w:id="0">
    <w:p w:rsidR="00B919AB" w:rsidRDefault="00B919AB" w:rsidP="00D06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F6" w:rsidRDefault="004F7AF6" w:rsidP="006D580C">
    <w:pPr>
      <w:spacing w:line="240" w:lineRule="atLeast"/>
      <w:ind w:right="-851" w:hanging="1276"/>
      <w:rPr>
        <w:b/>
        <w:bCs/>
        <w:noProof/>
        <w:sz w:val="16"/>
        <w:szCs w:val="16"/>
      </w:rPr>
    </w:pPr>
    <w:r>
      <w:rPr>
        <w:b/>
        <w:bCs/>
        <w:sz w:val="16"/>
        <w:szCs w:val="16"/>
        <w:lang w:val="pt-BR"/>
      </w:rPr>
      <w:t xml:space="preserve">  </w:t>
    </w:r>
    <w:r>
      <w:rPr>
        <w:b/>
        <w:bCs/>
        <w:noProof/>
        <w:sz w:val="16"/>
        <w:szCs w:val="16"/>
      </w:rPr>
      <w:t xml:space="preserve">                                  </w:t>
    </w:r>
  </w:p>
  <w:p w:rsidR="004F7AF6" w:rsidRDefault="004F7AF6" w:rsidP="006D580C">
    <w:pPr>
      <w:ind w:left="-567" w:right="-851" w:hanging="709"/>
      <w:rPr>
        <w:b/>
        <w:bCs/>
        <w:sz w:val="16"/>
        <w:szCs w:val="16"/>
        <w:lang w:val="pt-BR"/>
      </w:rPr>
    </w:pPr>
    <w:r>
      <w:rPr>
        <w:b/>
        <w:bCs/>
        <w:noProof/>
        <w:sz w:val="16"/>
        <w:szCs w:val="16"/>
      </w:rPr>
      <w:t xml:space="preserve">                               </w:t>
    </w:r>
    <w:r w:rsidRPr="00BB13D9">
      <w:rPr>
        <w:b/>
        <w:bCs/>
        <w:noProof/>
        <w:sz w:val="16"/>
        <w:szCs w:val="16"/>
      </w:rPr>
      <w:drawing>
        <wp:inline distT="0" distB="0" distL="0" distR="0">
          <wp:extent cx="1320800" cy="311302"/>
          <wp:effectExtent l="19050" t="0" r="0" b="0"/>
          <wp:docPr id="2" name="Slika 1" descr="C:\Users\Smilja\Desktop\hzjz LOGO puni naziv - Windows Photo Vie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lja\Desktop\hzjz LOGO puni naziv - Windows Photo Viewer.jpg"/>
                  <pic:cNvPicPr>
                    <a:picLocks noChangeAspect="1" noChangeArrowheads="1"/>
                  </pic:cNvPicPr>
                </pic:nvPicPr>
                <pic:blipFill>
                  <a:blip r:embed="rId1"/>
                  <a:srcRect/>
                  <a:stretch>
                    <a:fillRect/>
                  </a:stretch>
                </pic:blipFill>
                <pic:spPr bwMode="auto">
                  <a:xfrm>
                    <a:off x="0" y="0"/>
                    <a:ext cx="1323324" cy="311897"/>
                  </a:xfrm>
                  <a:prstGeom prst="rect">
                    <a:avLst/>
                  </a:prstGeom>
                  <a:noFill/>
                  <a:ln w="9525">
                    <a:noFill/>
                    <a:miter lim="800000"/>
                    <a:headEnd/>
                    <a:tailEnd/>
                  </a:ln>
                </pic:spPr>
              </pic:pic>
            </a:graphicData>
          </a:graphic>
        </wp:inline>
      </w:drawing>
    </w:r>
    <w:r>
      <w:rPr>
        <w:b/>
        <w:bCs/>
        <w:noProof/>
        <w:sz w:val="16"/>
        <w:szCs w:val="16"/>
      </w:rPr>
      <w:t xml:space="preserve">                                                                          </w:t>
    </w:r>
    <w:r>
      <w:rPr>
        <w:b/>
        <w:bCs/>
        <w:sz w:val="16"/>
        <w:szCs w:val="16"/>
        <w:lang w:val="pt-BR"/>
      </w:rPr>
      <w:t xml:space="preserve">                                                                                                                                                            </w:t>
    </w:r>
  </w:p>
  <w:p w:rsidR="004F7AF6" w:rsidRPr="006C29C0" w:rsidRDefault="004F7AF6" w:rsidP="006C29C0">
    <w:pPr>
      <w:ind w:hanging="1276"/>
      <w:rPr>
        <w:b/>
        <w:bCs/>
        <w:sz w:val="16"/>
        <w:szCs w:val="16"/>
      </w:rPr>
    </w:pPr>
    <w:r>
      <w:rPr>
        <w:b/>
        <w:bCs/>
        <w:sz w:val="16"/>
        <w:szCs w:val="16"/>
        <w:lang w:val="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3B7"/>
    <w:multiLevelType w:val="hybridMultilevel"/>
    <w:tmpl w:val="F808EA2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1E06A2"/>
    <w:multiLevelType w:val="multilevel"/>
    <w:tmpl w:val="5ECE8C30"/>
    <w:lvl w:ilvl="0">
      <w:numFmt w:val="bullet"/>
      <w:lvlText w:val=""/>
      <w:lvlJc w:val="left"/>
      <w:pPr>
        <w:ind w:left="786" w:hanging="360"/>
      </w:pPr>
      <w:rPr>
        <w:rFonts w:ascii="Wingdings" w:hAnsi="Wingdings"/>
        <w:color w:val="E36C0A"/>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 w15:restartNumberingAfterBreak="0">
    <w:nsid w:val="09C4577F"/>
    <w:multiLevelType w:val="hybridMultilevel"/>
    <w:tmpl w:val="2E9EEC2E"/>
    <w:lvl w:ilvl="0" w:tplc="041A000B">
      <w:start w:val="1"/>
      <w:numFmt w:val="bullet"/>
      <w:lvlText w:val=""/>
      <w:lvlJc w:val="left"/>
      <w:pPr>
        <w:ind w:left="720" w:hanging="360"/>
      </w:pPr>
      <w:rPr>
        <w:rFonts w:ascii="Wingdings" w:hAnsi="Wingdings" w:hint="default"/>
        <w:color w:val="4F6228" w:themeColor="accent3" w:themeShade="8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8F6EE0"/>
    <w:multiLevelType w:val="hybridMultilevel"/>
    <w:tmpl w:val="D1CE584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A4126F"/>
    <w:multiLevelType w:val="hybridMultilevel"/>
    <w:tmpl w:val="B6A0C5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1847FA"/>
    <w:multiLevelType w:val="hybridMultilevel"/>
    <w:tmpl w:val="F71ECB6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273642"/>
    <w:multiLevelType w:val="hybridMultilevel"/>
    <w:tmpl w:val="5D90B0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CA065E"/>
    <w:multiLevelType w:val="hybridMultilevel"/>
    <w:tmpl w:val="ED989C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802F65"/>
    <w:multiLevelType w:val="hybridMultilevel"/>
    <w:tmpl w:val="C688C9BC"/>
    <w:lvl w:ilvl="0" w:tplc="C3BA5982">
      <w:start w:val="1"/>
      <w:numFmt w:val="bullet"/>
      <w:lvlText w:val=""/>
      <w:lvlJc w:val="left"/>
      <w:pPr>
        <w:ind w:left="720" w:hanging="360"/>
      </w:pPr>
      <w:rPr>
        <w:rFonts w:ascii="Wingdings" w:hAnsi="Wingdings" w:hint="default"/>
        <w:color w:val="00B05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6E247E"/>
    <w:multiLevelType w:val="hybridMultilevel"/>
    <w:tmpl w:val="4A1ECE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0316ACE"/>
    <w:multiLevelType w:val="hybridMultilevel"/>
    <w:tmpl w:val="3F52AD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347487B"/>
    <w:multiLevelType w:val="hybridMultilevel"/>
    <w:tmpl w:val="78805B9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3A473F5"/>
    <w:multiLevelType w:val="hybridMultilevel"/>
    <w:tmpl w:val="32C0696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7496017A"/>
    <w:multiLevelType w:val="hybridMultilevel"/>
    <w:tmpl w:val="7A32348E"/>
    <w:lvl w:ilvl="0" w:tplc="041A000B">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BB05CD1"/>
    <w:multiLevelType w:val="hybridMultilevel"/>
    <w:tmpl w:val="B4107FCA"/>
    <w:lvl w:ilvl="0" w:tplc="ECECA6AC">
      <w:start w:val="1"/>
      <w:numFmt w:val="bullet"/>
      <w:lvlText w:val=""/>
      <w:lvlJc w:val="left"/>
      <w:pPr>
        <w:ind w:left="786" w:hanging="360"/>
      </w:pPr>
      <w:rPr>
        <w:rFonts w:ascii="Wingdings" w:hAnsi="Wingdings" w:hint="default"/>
        <w:color w:val="E36C0A" w:themeColor="accent6" w:themeShade="BF"/>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6"/>
  </w:num>
  <w:num w:numId="4">
    <w:abstractNumId w:val="14"/>
  </w:num>
  <w:num w:numId="5">
    <w:abstractNumId w:val="3"/>
  </w:num>
  <w:num w:numId="6">
    <w:abstractNumId w:val="12"/>
  </w:num>
  <w:num w:numId="7">
    <w:abstractNumId w:val="13"/>
  </w:num>
  <w:num w:numId="8">
    <w:abstractNumId w:val="7"/>
  </w:num>
  <w:num w:numId="9">
    <w:abstractNumId w:val="11"/>
  </w:num>
  <w:num w:numId="10">
    <w:abstractNumId w:val="10"/>
  </w:num>
  <w:num w:numId="11">
    <w:abstractNumId w:val="9"/>
  </w:num>
  <w:num w:numId="12">
    <w:abstractNumId w:val="0"/>
  </w:num>
  <w:num w:numId="13">
    <w:abstractNumId w:val="5"/>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29"/>
    <w:rsid w:val="00007C3B"/>
    <w:rsid w:val="0001546B"/>
    <w:rsid w:val="0001674C"/>
    <w:rsid w:val="00017783"/>
    <w:rsid w:val="00017933"/>
    <w:rsid w:val="000265C0"/>
    <w:rsid w:val="000279CA"/>
    <w:rsid w:val="00027A56"/>
    <w:rsid w:val="00027ADD"/>
    <w:rsid w:val="000345BC"/>
    <w:rsid w:val="000368C4"/>
    <w:rsid w:val="00067CD3"/>
    <w:rsid w:val="00081060"/>
    <w:rsid w:val="000833B2"/>
    <w:rsid w:val="000918DB"/>
    <w:rsid w:val="00092115"/>
    <w:rsid w:val="00097DDE"/>
    <w:rsid w:val="000B71C0"/>
    <w:rsid w:val="000C4EEB"/>
    <w:rsid w:val="000E1124"/>
    <w:rsid w:val="000E2E27"/>
    <w:rsid w:val="001018CD"/>
    <w:rsid w:val="00113968"/>
    <w:rsid w:val="001143F6"/>
    <w:rsid w:val="00117CB7"/>
    <w:rsid w:val="00124EF8"/>
    <w:rsid w:val="00135594"/>
    <w:rsid w:val="00144A61"/>
    <w:rsid w:val="00144B46"/>
    <w:rsid w:val="00147D9D"/>
    <w:rsid w:val="00154D39"/>
    <w:rsid w:val="0015510D"/>
    <w:rsid w:val="00170455"/>
    <w:rsid w:val="00171EBD"/>
    <w:rsid w:val="00177306"/>
    <w:rsid w:val="00177395"/>
    <w:rsid w:val="00183455"/>
    <w:rsid w:val="00186E22"/>
    <w:rsid w:val="001A2534"/>
    <w:rsid w:val="001A4390"/>
    <w:rsid w:val="001B5FE4"/>
    <w:rsid w:val="001C4553"/>
    <w:rsid w:val="001D0F9E"/>
    <w:rsid w:val="001D65BA"/>
    <w:rsid w:val="001D71CC"/>
    <w:rsid w:val="001E6A45"/>
    <w:rsid w:val="00201BE9"/>
    <w:rsid w:val="002020D5"/>
    <w:rsid w:val="00224D58"/>
    <w:rsid w:val="00225649"/>
    <w:rsid w:val="00225CD4"/>
    <w:rsid w:val="00232B5C"/>
    <w:rsid w:val="00235221"/>
    <w:rsid w:val="00237C54"/>
    <w:rsid w:val="00247D33"/>
    <w:rsid w:val="00256D30"/>
    <w:rsid w:val="00272C9F"/>
    <w:rsid w:val="00276978"/>
    <w:rsid w:val="00281593"/>
    <w:rsid w:val="00284CD6"/>
    <w:rsid w:val="0028602C"/>
    <w:rsid w:val="00287A9F"/>
    <w:rsid w:val="00293160"/>
    <w:rsid w:val="00295FE2"/>
    <w:rsid w:val="002B04D8"/>
    <w:rsid w:val="002B0CA5"/>
    <w:rsid w:val="002D36F8"/>
    <w:rsid w:val="002E7387"/>
    <w:rsid w:val="002F4719"/>
    <w:rsid w:val="002F510B"/>
    <w:rsid w:val="002F5410"/>
    <w:rsid w:val="002F6246"/>
    <w:rsid w:val="002F64CF"/>
    <w:rsid w:val="00312A4F"/>
    <w:rsid w:val="00315059"/>
    <w:rsid w:val="0031542A"/>
    <w:rsid w:val="0031694C"/>
    <w:rsid w:val="00317415"/>
    <w:rsid w:val="00324B2B"/>
    <w:rsid w:val="00327408"/>
    <w:rsid w:val="00331D3D"/>
    <w:rsid w:val="0033210B"/>
    <w:rsid w:val="003432A6"/>
    <w:rsid w:val="00344FF0"/>
    <w:rsid w:val="00352587"/>
    <w:rsid w:val="00360560"/>
    <w:rsid w:val="00367EDB"/>
    <w:rsid w:val="00376D9B"/>
    <w:rsid w:val="00394925"/>
    <w:rsid w:val="003A02FA"/>
    <w:rsid w:val="003A1461"/>
    <w:rsid w:val="003B3D7E"/>
    <w:rsid w:val="003B6CE6"/>
    <w:rsid w:val="003C0C53"/>
    <w:rsid w:val="003E0555"/>
    <w:rsid w:val="003E0B44"/>
    <w:rsid w:val="003F36A8"/>
    <w:rsid w:val="003F512F"/>
    <w:rsid w:val="00436273"/>
    <w:rsid w:val="0044432C"/>
    <w:rsid w:val="00460EE1"/>
    <w:rsid w:val="004615B4"/>
    <w:rsid w:val="004638CD"/>
    <w:rsid w:val="00474936"/>
    <w:rsid w:val="00480176"/>
    <w:rsid w:val="004808AD"/>
    <w:rsid w:val="00481C7C"/>
    <w:rsid w:val="004923AE"/>
    <w:rsid w:val="00494465"/>
    <w:rsid w:val="004A34F5"/>
    <w:rsid w:val="004A62ED"/>
    <w:rsid w:val="004A7172"/>
    <w:rsid w:val="004B006C"/>
    <w:rsid w:val="004B4ED1"/>
    <w:rsid w:val="004C041E"/>
    <w:rsid w:val="004D6DF4"/>
    <w:rsid w:val="004E679D"/>
    <w:rsid w:val="004E6914"/>
    <w:rsid w:val="004F1867"/>
    <w:rsid w:val="004F1BCC"/>
    <w:rsid w:val="004F7AF6"/>
    <w:rsid w:val="00500338"/>
    <w:rsid w:val="00502DD1"/>
    <w:rsid w:val="00507CF6"/>
    <w:rsid w:val="0051520B"/>
    <w:rsid w:val="00520166"/>
    <w:rsid w:val="00521796"/>
    <w:rsid w:val="0052518D"/>
    <w:rsid w:val="005359C6"/>
    <w:rsid w:val="00554095"/>
    <w:rsid w:val="005A21B3"/>
    <w:rsid w:val="005B1067"/>
    <w:rsid w:val="005B322C"/>
    <w:rsid w:val="005D0E50"/>
    <w:rsid w:val="005D3F7C"/>
    <w:rsid w:val="005D5CBD"/>
    <w:rsid w:val="005E3F00"/>
    <w:rsid w:val="005E4C21"/>
    <w:rsid w:val="005E67F7"/>
    <w:rsid w:val="005F0F8F"/>
    <w:rsid w:val="006036F3"/>
    <w:rsid w:val="00614A9C"/>
    <w:rsid w:val="00614D19"/>
    <w:rsid w:val="00615123"/>
    <w:rsid w:val="006255E5"/>
    <w:rsid w:val="006345B4"/>
    <w:rsid w:val="006346EA"/>
    <w:rsid w:val="0065456C"/>
    <w:rsid w:val="00656EF6"/>
    <w:rsid w:val="00664CFA"/>
    <w:rsid w:val="00665396"/>
    <w:rsid w:val="006655CE"/>
    <w:rsid w:val="006706F5"/>
    <w:rsid w:val="00671D9D"/>
    <w:rsid w:val="006733B5"/>
    <w:rsid w:val="0068693F"/>
    <w:rsid w:val="00686C36"/>
    <w:rsid w:val="00690359"/>
    <w:rsid w:val="006A2BF4"/>
    <w:rsid w:val="006A7BCC"/>
    <w:rsid w:val="006B07AE"/>
    <w:rsid w:val="006B4D48"/>
    <w:rsid w:val="006C0480"/>
    <w:rsid w:val="006C29C0"/>
    <w:rsid w:val="006D22AF"/>
    <w:rsid w:val="006D5031"/>
    <w:rsid w:val="006D580C"/>
    <w:rsid w:val="006E1E11"/>
    <w:rsid w:val="006E5B7F"/>
    <w:rsid w:val="006E6FF8"/>
    <w:rsid w:val="006E7608"/>
    <w:rsid w:val="00701F58"/>
    <w:rsid w:val="007025F6"/>
    <w:rsid w:val="00727072"/>
    <w:rsid w:val="00727AF6"/>
    <w:rsid w:val="00732D28"/>
    <w:rsid w:val="00734A6C"/>
    <w:rsid w:val="00747E75"/>
    <w:rsid w:val="0076779A"/>
    <w:rsid w:val="00771766"/>
    <w:rsid w:val="007772EA"/>
    <w:rsid w:val="007905D4"/>
    <w:rsid w:val="00797689"/>
    <w:rsid w:val="007A43F6"/>
    <w:rsid w:val="007A4E3F"/>
    <w:rsid w:val="007B245C"/>
    <w:rsid w:val="007B3C56"/>
    <w:rsid w:val="007C0B67"/>
    <w:rsid w:val="007C4BB8"/>
    <w:rsid w:val="007D38C6"/>
    <w:rsid w:val="007F6E73"/>
    <w:rsid w:val="00831BAB"/>
    <w:rsid w:val="0084122E"/>
    <w:rsid w:val="00845405"/>
    <w:rsid w:val="00853614"/>
    <w:rsid w:val="00880F96"/>
    <w:rsid w:val="008810F4"/>
    <w:rsid w:val="00882FB1"/>
    <w:rsid w:val="008839D1"/>
    <w:rsid w:val="008A7E82"/>
    <w:rsid w:val="008C1AFE"/>
    <w:rsid w:val="008D7859"/>
    <w:rsid w:val="008F07A4"/>
    <w:rsid w:val="008F73DF"/>
    <w:rsid w:val="0090554B"/>
    <w:rsid w:val="0091006E"/>
    <w:rsid w:val="009141E5"/>
    <w:rsid w:val="00924FCF"/>
    <w:rsid w:val="00926323"/>
    <w:rsid w:val="00940A7D"/>
    <w:rsid w:val="009414C1"/>
    <w:rsid w:val="00943DEB"/>
    <w:rsid w:val="009468E0"/>
    <w:rsid w:val="00955A2E"/>
    <w:rsid w:val="00957FC3"/>
    <w:rsid w:val="00964DAD"/>
    <w:rsid w:val="009833A9"/>
    <w:rsid w:val="009A4684"/>
    <w:rsid w:val="009A4D32"/>
    <w:rsid w:val="009B0FD3"/>
    <w:rsid w:val="009C4993"/>
    <w:rsid w:val="009C4AC3"/>
    <w:rsid w:val="009C58F6"/>
    <w:rsid w:val="009C6EF5"/>
    <w:rsid w:val="009C7818"/>
    <w:rsid w:val="009D006E"/>
    <w:rsid w:val="009D6B1D"/>
    <w:rsid w:val="009E0D39"/>
    <w:rsid w:val="009E7ABC"/>
    <w:rsid w:val="009F1177"/>
    <w:rsid w:val="009F26F7"/>
    <w:rsid w:val="00A01DF0"/>
    <w:rsid w:val="00A0451B"/>
    <w:rsid w:val="00A1620A"/>
    <w:rsid w:val="00A2111A"/>
    <w:rsid w:val="00A2356C"/>
    <w:rsid w:val="00A2786B"/>
    <w:rsid w:val="00A36147"/>
    <w:rsid w:val="00A56225"/>
    <w:rsid w:val="00A57641"/>
    <w:rsid w:val="00A6054C"/>
    <w:rsid w:val="00A61072"/>
    <w:rsid w:val="00A61A86"/>
    <w:rsid w:val="00A6325F"/>
    <w:rsid w:val="00A73B2C"/>
    <w:rsid w:val="00A915FB"/>
    <w:rsid w:val="00A96EC4"/>
    <w:rsid w:val="00A97151"/>
    <w:rsid w:val="00AB35D9"/>
    <w:rsid w:val="00AC242A"/>
    <w:rsid w:val="00AE0772"/>
    <w:rsid w:val="00AE26AD"/>
    <w:rsid w:val="00B04315"/>
    <w:rsid w:val="00B06184"/>
    <w:rsid w:val="00B216B6"/>
    <w:rsid w:val="00B25A04"/>
    <w:rsid w:val="00B31BE8"/>
    <w:rsid w:val="00B341F5"/>
    <w:rsid w:val="00B56260"/>
    <w:rsid w:val="00B57466"/>
    <w:rsid w:val="00B60F38"/>
    <w:rsid w:val="00B64F7A"/>
    <w:rsid w:val="00B650E3"/>
    <w:rsid w:val="00B8515E"/>
    <w:rsid w:val="00B8547C"/>
    <w:rsid w:val="00B919AB"/>
    <w:rsid w:val="00B93000"/>
    <w:rsid w:val="00BA0D94"/>
    <w:rsid w:val="00BA2EF7"/>
    <w:rsid w:val="00BA5893"/>
    <w:rsid w:val="00BA6C8A"/>
    <w:rsid w:val="00BB13D9"/>
    <w:rsid w:val="00BB2FB6"/>
    <w:rsid w:val="00BC1434"/>
    <w:rsid w:val="00BD0354"/>
    <w:rsid w:val="00BE335C"/>
    <w:rsid w:val="00C13414"/>
    <w:rsid w:val="00C15330"/>
    <w:rsid w:val="00C267A4"/>
    <w:rsid w:val="00C30382"/>
    <w:rsid w:val="00C35A3E"/>
    <w:rsid w:val="00C41806"/>
    <w:rsid w:val="00C41AC9"/>
    <w:rsid w:val="00C520E1"/>
    <w:rsid w:val="00C7449F"/>
    <w:rsid w:val="00C74658"/>
    <w:rsid w:val="00C86F1F"/>
    <w:rsid w:val="00C94AFB"/>
    <w:rsid w:val="00CA327C"/>
    <w:rsid w:val="00CA4E54"/>
    <w:rsid w:val="00CA77A1"/>
    <w:rsid w:val="00CB045C"/>
    <w:rsid w:val="00CB63D8"/>
    <w:rsid w:val="00CB7E40"/>
    <w:rsid w:val="00CD3037"/>
    <w:rsid w:val="00CD32AA"/>
    <w:rsid w:val="00CE686D"/>
    <w:rsid w:val="00CF0D67"/>
    <w:rsid w:val="00CF3900"/>
    <w:rsid w:val="00CF43CD"/>
    <w:rsid w:val="00D05D0D"/>
    <w:rsid w:val="00D062CC"/>
    <w:rsid w:val="00D06929"/>
    <w:rsid w:val="00D12A01"/>
    <w:rsid w:val="00D652C7"/>
    <w:rsid w:val="00D664BB"/>
    <w:rsid w:val="00D93D45"/>
    <w:rsid w:val="00D960D2"/>
    <w:rsid w:val="00DC4240"/>
    <w:rsid w:val="00DC4640"/>
    <w:rsid w:val="00DC6FF3"/>
    <w:rsid w:val="00DE234B"/>
    <w:rsid w:val="00DE2F96"/>
    <w:rsid w:val="00DF470F"/>
    <w:rsid w:val="00E02D60"/>
    <w:rsid w:val="00E1036A"/>
    <w:rsid w:val="00E103ED"/>
    <w:rsid w:val="00E142A2"/>
    <w:rsid w:val="00E148D8"/>
    <w:rsid w:val="00E1538B"/>
    <w:rsid w:val="00E20BEC"/>
    <w:rsid w:val="00E3574C"/>
    <w:rsid w:val="00E37FEC"/>
    <w:rsid w:val="00E410D5"/>
    <w:rsid w:val="00E637CE"/>
    <w:rsid w:val="00E66D81"/>
    <w:rsid w:val="00E71AC3"/>
    <w:rsid w:val="00E77A1B"/>
    <w:rsid w:val="00E869CF"/>
    <w:rsid w:val="00E91C17"/>
    <w:rsid w:val="00E9784B"/>
    <w:rsid w:val="00EB6739"/>
    <w:rsid w:val="00EC4800"/>
    <w:rsid w:val="00ED195E"/>
    <w:rsid w:val="00EE7B84"/>
    <w:rsid w:val="00EF1985"/>
    <w:rsid w:val="00F124E2"/>
    <w:rsid w:val="00F14432"/>
    <w:rsid w:val="00F24A73"/>
    <w:rsid w:val="00F32789"/>
    <w:rsid w:val="00F34E35"/>
    <w:rsid w:val="00F35A88"/>
    <w:rsid w:val="00F3758A"/>
    <w:rsid w:val="00F43821"/>
    <w:rsid w:val="00F4473F"/>
    <w:rsid w:val="00F626CD"/>
    <w:rsid w:val="00F6335C"/>
    <w:rsid w:val="00F63785"/>
    <w:rsid w:val="00F74EF9"/>
    <w:rsid w:val="00F75A13"/>
    <w:rsid w:val="00F90257"/>
    <w:rsid w:val="00F94319"/>
    <w:rsid w:val="00FA14D7"/>
    <w:rsid w:val="00FA57C5"/>
    <w:rsid w:val="00FA7B7D"/>
    <w:rsid w:val="00FA7D19"/>
    <w:rsid w:val="00FB0C11"/>
    <w:rsid w:val="00FB22DF"/>
    <w:rsid w:val="00FE64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566F63-CA3F-407B-8EF6-EC6F5942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3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rsid w:val="00D06929"/>
    <w:rPr>
      <w:sz w:val="20"/>
      <w:szCs w:val="20"/>
    </w:rPr>
  </w:style>
  <w:style w:type="character" w:customStyle="1" w:styleId="TekstfusnoteChar">
    <w:name w:val="Tekst fusnote Char"/>
    <w:basedOn w:val="Zadanifontodlomka"/>
    <w:link w:val="Tekstfusnote"/>
    <w:rsid w:val="00D06929"/>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rsid w:val="00D06929"/>
    <w:rPr>
      <w:vertAlign w:val="superscript"/>
    </w:rPr>
  </w:style>
  <w:style w:type="paragraph" w:styleId="Zaglavlje">
    <w:name w:val="header"/>
    <w:basedOn w:val="Normal"/>
    <w:link w:val="ZaglavljeChar"/>
    <w:uiPriority w:val="99"/>
    <w:unhideWhenUsed/>
    <w:rsid w:val="00D06929"/>
    <w:pPr>
      <w:tabs>
        <w:tab w:val="center" w:pos="4536"/>
        <w:tab w:val="right" w:pos="9072"/>
      </w:tabs>
    </w:pPr>
  </w:style>
  <w:style w:type="character" w:customStyle="1" w:styleId="ZaglavljeChar">
    <w:name w:val="Zaglavlje Char"/>
    <w:basedOn w:val="Zadanifontodlomka"/>
    <w:link w:val="Zaglavlje"/>
    <w:uiPriority w:val="99"/>
    <w:rsid w:val="00D0692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06929"/>
    <w:pPr>
      <w:tabs>
        <w:tab w:val="center" w:pos="4536"/>
        <w:tab w:val="right" w:pos="9072"/>
      </w:tabs>
    </w:pPr>
  </w:style>
  <w:style w:type="character" w:customStyle="1" w:styleId="PodnojeChar">
    <w:name w:val="Podnožje Char"/>
    <w:basedOn w:val="Zadanifontodlomka"/>
    <w:link w:val="Podnoje"/>
    <w:uiPriority w:val="99"/>
    <w:rsid w:val="00D06929"/>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D06929"/>
    <w:rPr>
      <w:rFonts w:ascii="Tahoma" w:hAnsi="Tahoma" w:cs="Tahoma"/>
      <w:sz w:val="16"/>
      <w:szCs w:val="16"/>
    </w:rPr>
  </w:style>
  <w:style w:type="character" w:customStyle="1" w:styleId="TekstbaloniaChar">
    <w:name w:val="Tekst balončića Char"/>
    <w:basedOn w:val="Zadanifontodlomka"/>
    <w:link w:val="Tekstbalonia"/>
    <w:uiPriority w:val="99"/>
    <w:semiHidden/>
    <w:rsid w:val="00D06929"/>
    <w:rPr>
      <w:rFonts w:ascii="Tahoma" w:eastAsia="Times New Roman" w:hAnsi="Tahoma" w:cs="Tahoma"/>
      <w:sz w:val="16"/>
      <w:szCs w:val="16"/>
      <w:lang w:eastAsia="hr-HR"/>
    </w:rPr>
  </w:style>
  <w:style w:type="table" w:styleId="Reetkatablice">
    <w:name w:val="Table Grid"/>
    <w:basedOn w:val="Obinatablica"/>
    <w:uiPriority w:val="59"/>
    <w:rsid w:val="00D0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57466"/>
    <w:pPr>
      <w:ind w:left="720"/>
      <w:contextualSpacing/>
    </w:pPr>
  </w:style>
  <w:style w:type="character" w:styleId="Hiperveza">
    <w:name w:val="Hyperlink"/>
    <w:basedOn w:val="Zadanifontodlomka"/>
    <w:uiPriority w:val="99"/>
    <w:unhideWhenUsed/>
    <w:rsid w:val="004923AE"/>
    <w:rPr>
      <w:color w:val="0000FF" w:themeColor="hyperlink"/>
      <w:u w:val="single"/>
    </w:rPr>
  </w:style>
  <w:style w:type="paragraph" w:styleId="Tijeloteksta">
    <w:name w:val="Body Text"/>
    <w:basedOn w:val="Normal"/>
    <w:link w:val="TijelotekstaChar"/>
    <w:uiPriority w:val="99"/>
    <w:semiHidden/>
    <w:unhideWhenUsed/>
    <w:rsid w:val="00367EDB"/>
    <w:pPr>
      <w:spacing w:after="120"/>
    </w:pPr>
  </w:style>
  <w:style w:type="character" w:customStyle="1" w:styleId="TijelotekstaChar">
    <w:name w:val="Tijelo teksta Char"/>
    <w:basedOn w:val="Zadanifontodlomka"/>
    <w:link w:val="Tijeloteksta"/>
    <w:uiPriority w:val="99"/>
    <w:semiHidden/>
    <w:rsid w:val="00367EDB"/>
    <w:rPr>
      <w:rFonts w:ascii="Times New Roman" w:eastAsia="Times New Roman" w:hAnsi="Times New Roman" w:cs="Times New Roman"/>
      <w:sz w:val="24"/>
      <w:szCs w:val="24"/>
      <w:lang w:eastAsia="hr-HR"/>
    </w:rPr>
  </w:style>
  <w:style w:type="table" w:styleId="Svijetlipopis-Isticanje1">
    <w:name w:val="Light List Accent 1"/>
    <w:basedOn w:val="Obinatablica"/>
    <w:uiPriority w:val="61"/>
    <w:rsid w:val="00017783"/>
    <w:pPr>
      <w:spacing w:after="0" w:line="240" w:lineRule="auto"/>
    </w:pPr>
    <w:rPr>
      <w:rFonts w:ascii="Calibri" w:eastAsia="Times New Roman" w:hAnsi="Calibri" w:cs="Calibri"/>
      <w:sz w:val="20"/>
      <w:szCs w:val="20"/>
      <w:lang w:eastAsia="hr-H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ezproreda">
    <w:name w:val="No Spacing"/>
    <w:uiPriority w:val="1"/>
    <w:qFormat/>
    <w:rsid w:val="00521796"/>
    <w:pPr>
      <w:spacing w:after="0" w:line="240" w:lineRule="auto"/>
    </w:pPr>
  </w:style>
  <w:style w:type="character" w:styleId="Referencakomentara">
    <w:name w:val="annotation reference"/>
    <w:basedOn w:val="Zadanifontodlomka"/>
    <w:uiPriority w:val="99"/>
    <w:semiHidden/>
    <w:unhideWhenUsed/>
    <w:rsid w:val="001B5FE4"/>
    <w:rPr>
      <w:sz w:val="16"/>
      <w:szCs w:val="16"/>
    </w:rPr>
  </w:style>
  <w:style w:type="paragraph" w:styleId="Tekstkomentara">
    <w:name w:val="annotation text"/>
    <w:basedOn w:val="Normal"/>
    <w:link w:val="TekstkomentaraChar"/>
    <w:uiPriority w:val="99"/>
    <w:semiHidden/>
    <w:unhideWhenUsed/>
    <w:rsid w:val="001B5FE4"/>
    <w:rPr>
      <w:sz w:val="20"/>
      <w:szCs w:val="20"/>
    </w:rPr>
  </w:style>
  <w:style w:type="character" w:customStyle="1" w:styleId="TekstkomentaraChar">
    <w:name w:val="Tekst komentara Char"/>
    <w:basedOn w:val="Zadanifontodlomka"/>
    <w:link w:val="Tekstkomentara"/>
    <w:uiPriority w:val="99"/>
    <w:semiHidden/>
    <w:rsid w:val="001B5FE4"/>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1B5FE4"/>
    <w:rPr>
      <w:b/>
      <w:bCs/>
    </w:rPr>
  </w:style>
  <w:style w:type="character" w:customStyle="1" w:styleId="PredmetkomentaraChar">
    <w:name w:val="Predmet komentara Char"/>
    <w:basedOn w:val="TekstkomentaraChar"/>
    <w:link w:val="Predmetkomentara"/>
    <w:uiPriority w:val="99"/>
    <w:semiHidden/>
    <w:rsid w:val="001B5FE4"/>
    <w:rPr>
      <w:rFonts w:ascii="Times New Roman" w:eastAsia="Times New Roman" w:hAnsi="Times New Roman" w:cs="Times New Roman"/>
      <w:b/>
      <w:bCs/>
      <w:sz w:val="20"/>
      <w:szCs w:val="20"/>
      <w:lang w:eastAsia="hr-HR"/>
    </w:rPr>
  </w:style>
  <w:style w:type="paragraph" w:styleId="Opisslike">
    <w:name w:val="caption"/>
    <w:basedOn w:val="Normal"/>
    <w:next w:val="Normal"/>
    <w:uiPriority w:val="35"/>
    <w:unhideWhenUsed/>
    <w:qFormat/>
    <w:rsid w:val="00007C3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871635">
      <w:bodyDiv w:val="1"/>
      <w:marLeft w:val="0"/>
      <w:marRight w:val="0"/>
      <w:marTop w:val="0"/>
      <w:marBottom w:val="0"/>
      <w:divBdr>
        <w:top w:val="none" w:sz="0" w:space="0" w:color="auto"/>
        <w:left w:val="none" w:sz="0" w:space="0" w:color="auto"/>
        <w:bottom w:val="none" w:sz="0" w:space="0" w:color="auto"/>
        <w:right w:val="none" w:sz="0" w:space="0" w:color="auto"/>
      </w:divBdr>
    </w:div>
    <w:div w:id="327834524">
      <w:bodyDiv w:val="1"/>
      <w:marLeft w:val="0"/>
      <w:marRight w:val="0"/>
      <w:marTop w:val="0"/>
      <w:marBottom w:val="0"/>
      <w:divBdr>
        <w:top w:val="none" w:sz="0" w:space="0" w:color="auto"/>
        <w:left w:val="none" w:sz="0" w:space="0" w:color="auto"/>
        <w:bottom w:val="none" w:sz="0" w:space="0" w:color="auto"/>
        <w:right w:val="none" w:sz="0" w:space="0" w:color="auto"/>
      </w:divBdr>
    </w:div>
    <w:div w:id="426655834">
      <w:bodyDiv w:val="1"/>
      <w:marLeft w:val="0"/>
      <w:marRight w:val="0"/>
      <w:marTop w:val="0"/>
      <w:marBottom w:val="0"/>
      <w:divBdr>
        <w:top w:val="none" w:sz="0" w:space="0" w:color="auto"/>
        <w:left w:val="none" w:sz="0" w:space="0" w:color="auto"/>
        <w:bottom w:val="none" w:sz="0" w:space="0" w:color="auto"/>
        <w:right w:val="none" w:sz="0" w:space="0" w:color="auto"/>
      </w:divBdr>
      <w:divsChild>
        <w:div w:id="46808382">
          <w:marLeft w:val="547"/>
          <w:marRight w:val="0"/>
          <w:marTop w:val="96"/>
          <w:marBottom w:val="0"/>
          <w:divBdr>
            <w:top w:val="none" w:sz="0" w:space="0" w:color="auto"/>
            <w:left w:val="none" w:sz="0" w:space="0" w:color="auto"/>
            <w:bottom w:val="none" w:sz="0" w:space="0" w:color="auto"/>
            <w:right w:val="none" w:sz="0" w:space="0" w:color="auto"/>
          </w:divBdr>
        </w:div>
      </w:divsChild>
    </w:div>
    <w:div w:id="1079904531">
      <w:bodyDiv w:val="1"/>
      <w:marLeft w:val="0"/>
      <w:marRight w:val="0"/>
      <w:marTop w:val="0"/>
      <w:marBottom w:val="0"/>
      <w:divBdr>
        <w:top w:val="none" w:sz="0" w:space="0" w:color="auto"/>
        <w:left w:val="none" w:sz="0" w:space="0" w:color="auto"/>
        <w:bottom w:val="none" w:sz="0" w:space="0" w:color="auto"/>
        <w:right w:val="none" w:sz="0" w:space="0" w:color="auto"/>
      </w:divBdr>
    </w:div>
    <w:div w:id="1245451218">
      <w:bodyDiv w:val="1"/>
      <w:marLeft w:val="0"/>
      <w:marRight w:val="0"/>
      <w:marTop w:val="0"/>
      <w:marBottom w:val="0"/>
      <w:divBdr>
        <w:top w:val="none" w:sz="0" w:space="0" w:color="auto"/>
        <w:left w:val="none" w:sz="0" w:space="0" w:color="auto"/>
        <w:bottom w:val="none" w:sz="0" w:space="0" w:color="auto"/>
        <w:right w:val="none" w:sz="0" w:space="0" w:color="auto"/>
      </w:divBdr>
    </w:div>
    <w:div w:id="1613628171">
      <w:bodyDiv w:val="1"/>
      <w:marLeft w:val="0"/>
      <w:marRight w:val="0"/>
      <w:marTop w:val="0"/>
      <w:marBottom w:val="0"/>
      <w:divBdr>
        <w:top w:val="none" w:sz="0" w:space="0" w:color="auto"/>
        <w:left w:val="none" w:sz="0" w:space="0" w:color="auto"/>
        <w:bottom w:val="none" w:sz="0" w:space="0" w:color="auto"/>
        <w:right w:val="none" w:sz="0" w:space="0" w:color="auto"/>
      </w:divBdr>
    </w:div>
    <w:div w:id="19046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Series 1</c:v>
          </c:tx>
          <c:spPr>
            <a:ln w="22229" cap="rnd">
              <a:solidFill>
                <a:srgbClr val="4F81BD"/>
              </a:solidFill>
              <a:prstDash val="solid"/>
              <a:round/>
            </a:ln>
          </c:spPr>
          <c:marker>
            <c:symbol val="diamond"/>
            <c:size val="6"/>
          </c:marker>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7.2632741527371369E-2"/>
                  <c:y val="3.8437655609729518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7F7F7F"/>
                      </a:solidFill>
                      <a:latin typeface="Calibri"/>
                    </a:defRPr>
                  </a:pPr>
                  <a:endParaRPr lang="sr-Latn-RS"/>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ext>
              </c:extLst>
            </c:dLbl>
            <c:dLbl>
              <c:idx val="1"/>
              <c:layout>
                <c:manualLayout>
                  <c:x val="-6.6737136696934762E-2"/>
                  <c:y val="3.0504314281304984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7F7F7F"/>
                      </a:solidFill>
                      <a:latin typeface="Calibri"/>
                    </a:defRPr>
                  </a:pPr>
                  <a:endParaRPr lang="sr-Latn-RS"/>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ext>
              </c:extLst>
            </c:dLbl>
            <c:dLbl>
              <c:idx val="2"/>
              <c:layout>
                <c:manualLayout>
                  <c:x val="-6.7785729727563415E-2"/>
                  <c:y val="3.8441055917457279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7F7F7F"/>
                      </a:solidFill>
                      <a:latin typeface="Calibri"/>
                    </a:defRPr>
                  </a:pPr>
                  <a:endParaRPr lang="sr-Latn-RS"/>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ext>
              </c:extLst>
            </c:dLbl>
            <c:dLbl>
              <c:idx val="3"/>
              <c:layout>
                <c:manualLayout>
                  <c:x val="-6.651969261404661E-2"/>
                  <c:y val="3.4476013219994522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7F7F7F"/>
                      </a:solidFill>
                      <a:latin typeface="Calibri"/>
                    </a:defRPr>
                  </a:pPr>
                  <a:endParaRPr lang="sr-Latn-RS"/>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ext>
              </c:extLst>
            </c:dLbl>
            <c:dLbl>
              <c:idx val="4"/>
              <c:layout>
                <c:manualLayout>
                  <c:x val="-6.525365548552442E-2"/>
                  <c:y val="3.4475134747008945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7F7F7F"/>
                      </a:solidFill>
                      <a:latin typeface="Calibri"/>
                    </a:defRPr>
                  </a:pPr>
                  <a:endParaRPr lang="sr-Latn-RS"/>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ext>
              </c:extLst>
            </c:dLbl>
            <c:dLbl>
              <c:idx val="5"/>
              <c:layout>
                <c:manualLayout>
                  <c:x val="-4.6470335118797723E-2"/>
                  <c:y val="2.6548691265663393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7F7F7F"/>
                      </a:solidFill>
                      <a:latin typeface="Calibri"/>
                    </a:defRPr>
                  </a:pPr>
                  <a:endParaRPr lang="sr-Latn-RS"/>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ext>
              </c:extLst>
            </c:dLbl>
            <c:dLbl>
              <c:idx val="6"/>
              <c:layout>
                <c:manualLayout>
                  <c:x val="-3.8221517851335873E-2"/>
                  <c:y val="6.4229171518579931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7F7F7F"/>
                      </a:solidFill>
                      <a:latin typeface="Calibri"/>
                    </a:defRPr>
                  </a:pPr>
                  <a:endParaRPr lang="sr-Latn-RS"/>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7F7F7F"/>
                    </a:solidFill>
                    <a:latin typeface="Calibri"/>
                  </a:defRPr>
                </a:pPr>
                <a:endParaRPr lang="sr-Latn-R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cat>
            <c:strLit>
              <c:ptCount val="7"/>
              <c:pt idx="0">
                <c:v>2015.</c:v>
              </c:pt>
              <c:pt idx="1">
                <c:v>2016.</c:v>
              </c:pt>
              <c:pt idx="2">
                <c:v>2017.</c:v>
              </c:pt>
              <c:pt idx="3">
                <c:v>2018.</c:v>
              </c:pt>
              <c:pt idx="4">
                <c:v>2019.</c:v>
              </c:pt>
              <c:pt idx="5">
                <c:v>2020.</c:v>
              </c:pt>
              <c:pt idx="6">
                <c:v>2021.</c:v>
              </c:pt>
            </c:strLit>
          </c:cat>
          <c:val>
            <c:numLit>
              <c:formatCode>General</c:formatCode>
              <c:ptCount val="7"/>
              <c:pt idx="0">
                <c:v>7533</c:v>
              </c:pt>
              <c:pt idx="1">
                <c:v>7106</c:v>
              </c:pt>
              <c:pt idx="2">
                <c:v>7157</c:v>
              </c:pt>
              <c:pt idx="3">
                <c:v>6761</c:v>
              </c:pt>
              <c:pt idx="4">
                <c:v>6858</c:v>
              </c:pt>
              <c:pt idx="5">
                <c:v>5478</c:v>
              </c:pt>
              <c:pt idx="6">
                <c:v>5378</c:v>
              </c:pt>
            </c:numLit>
          </c:val>
          <c:smooth val="0"/>
        </c:ser>
        <c:dLbls>
          <c:showLegendKey val="0"/>
          <c:showVal val="0"/>
          <c:showCatName val="0"/>
          <c:showSerName val="0"/>
          <c:showPercent val="0"/>
          <c:showBubbleSize val="0"/>
        </c:dLbls>
        <c:marker val="1"/>
        <c:smooth val="0"/>
        <c:axId val="15338568"/>
        <c:axId val="15339744"/>
      </c:lineChart>
      <c:valAx>
        <c:axId val="15339744"/>
        <c:scaling>
          <c:orientation val="minMax"/>
        </c:scaling>
        <c:delete val="0"/>
        <c:axPos val="l"/>
        <c:numFmt formatCode="#.##0"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sr-Latn-RS"/>
          </a:p>
        </c:txPr>
        <c:crossAx val="15338568"/>
        <c:crosses val="autoZero"/>
        <c:crossBetween val="between"/>
      </c:valAx>
      <c:catAx>
        <c:axId val="15338568"/>
        <c:scaling>
          <c:orientation val="minMax"/>
        </c:scaling>
        <c:delete val="0"/>
        <c:axPos val="b"/>
        <c:majorGridlines>
          <c:spPr>
            <a:ln w="9528" cap="flat">
              <a:solidFill>
                <a:srgbClr val="D9D9D9"/>
              </a:solidFill>
              <a:prstDash val="solid"/>
              <a:round/>
            </a:ln>
          </c:spPr>
        </c:majorGridlines>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800" b="0" i="0" u="none" strike="noStrike" kern="1200" cap="all" spc="120" baseline="0">
                <a:solidFill>
                  <a:srgbClr val="595959"/>
                </a:solidFill>
                <a:latin typeface="Calibri"/>
              </a:defRPr>
            </a:pPr>
            <a:endParaRPr lang="sr-Latn-RS"/>
          </a:p>
        </c:txPr>
        <c:crossAx val="15339744"/>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sr-Latn-RS"/>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BA998-1A35-4C6E-9E3C-0ED9EFA2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3446</Words>
  <Characters>19645</Characters>
  <Application>Microsoft Office Word</Application>
  <DocSecurity>0</DocSecurity>
  <Lines>163</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Smilja</dc:creator>
  <cp:lastModifiedBy>Nikolina Šoše</cp:lastModifiedBy>
  <cp:revision>7</cp:revision>
  <cp:lastPrinted>2022-06-20T08:20:00Z</cp:lastPrinted>
  <dcterms:created xsi:type="dcterms:W3CDTF">2022-06-20T08:20:00Z</dcterms:created>
  <dcterms:modified xsi:type="dcterms:W3CDTF">2022-06-20T10:52:00Z</dcterms:modified>
</cp:coreProperties>
</file>