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086E" w14:textId="77777777" w:rsidR="007678BE" w:rsidRPr="007678BE" w:rsidRDefault="007678BE" w:rsidP="007678BE">
      <w:pPr>
        <w:rPr>
          <w:b/>
          <w:bCs/>
          <w:sz w:val="32"/>
          <w:szCs w:val="32"/>
        </w:rPr>
      </w:pPr>
      <w:r w:rsidRPr="007678BE">
        <w:rPr>
          <w:b/>
          <w:bCs/>
          <w:sz w:val="32"/>
          <w:szCs w:val="32"/>
        </w:rPr>
        <w:t>Uzorci spolnomokraćnog sustava žena</w:t>
      </w:r>
    </w:p>
    <w:p w14:paraId="4FF64631" w14:textId="2DF592FC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•PCR na mikoplazme/ureaplazme uključuje detekciju 4 uzročnika: Mycoplasma genitalium, Mycoplasma hominis, Ureaplasma urealyticum, Ureaplasma parvum</w:t>
      </w:r>
    </w:p>
    <w:p w14:paraId="35EFA4A9" w14:textId="41149A50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•Obriske (cerviksa, rodnice i uretre) iz spolnomokraćnog sustava žena uzima ginekolog i pohranjuje u odgovarajući transportni medij (medij za PCR Mycoplasma/Ureaplasma</w:t>
      </w:r>
    </w:p>
    <w:p w14:paraId="458CBF96" w14:textId="4E70B934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•Uzorak je potrebno dostaviti u laboratorij unutar 2 sata od prikupljanja, a u slučaju odgođene dostave, može se pohraniti do 24 sata na temperaturi od 2 do 8 °C</w:t>
      </w:r>
    </w:p>
    <w:p w14:paraId="439EAF50" w14:textId="77777777" w:rsidR="007678BE" w:rsidRPr="007678BE" w:rsidRDefault="007678BE" w:rsidP="007678BE">
      <w:pPr>
        <w:rPr>
          <w:sz w:val="24"/>
          <w:szCs w:val="24"/>
        </w:rPr>
      </w:pPr>
    </w:p>
    <w:p w14:paraId="39B87764" w14:textId="77777777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Trajanje pretrage: 2-5 dana</w:t>
      </w:r>
    </w:p>
    <w:p w14:paraId="74C8FD4F" w14:textId="557DE2A5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•Rezultat PCR dijagnostike dostupan je za 1-2 radna dana</w:t>
      </w:r>
    </w:p>
    <w:p w14:paraId="5DAAB290" w14:textId="1556DC62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>•ako je PCR na M. hominis / U. urealyticum negativan ili je količina bakterija &lt;103, rezultat P</w:t>
      </w:r>
      <w:r>
        <w:rPr>
          <w:sz w:val="24"/>
          <w:szCs w:val="24"/>
        </w:rPr>
        <w:t>C</w:t>
      </w:r>
      <w:r w:rsidRPr="007678BE">
        <w:rPr>
          <w:sz w:val="24"/>
          <w:szCs w:val="24"/>
        </w:rPr>
        <w:t>R-a je konačan rezultat i dostupan je za 1-2 radna dana</w:t>
      </w:r>
    </w:p>
    <w:p w14:paraId="789129AE" w14:textId="40516A47" w:rsidR="007678BE" w:rsidRPr="007678BE" w:rsidRDefault="007678BE" w:rsidP="007678BE">
      <w:pPr>
        <w:rPr>
          <w:sz w:val="24"/>
          <w:szCs w:val="24"/>
        </w:rPr>
      </w:pPr>
      <w:r w:rsidRPr="007678BE">
        <w:rPr>
          <w:sz w:val="24"/>
          <w:szCs w:val="24"/>
        </w:rPr>
        <w:t xml:space="preserve">•ako je PCR na M. hominis / U. urealyticum u količini &gt;104, uzorak se dalje obrađuje te za 2-3 radna dana slijedi još jedan nalaz s kvantifikacijom bakterija i rezultatom osjetljivosti na antibiotike </w:t>
      </w:r>
    </w:p>
    <w:p w14:paraId="73F90393" w14:textId="77777777" w:rsidR="007678BE" w:rsidRPr="007678BE" w:rsidRDefault="007678BE" w:rsidP="007678BE">
      <w:pPr>
        <w:rPr>
          <w:sz w:val="24"/>
          <w:szCs w:val="24"/>
        </w:rPr>
      </w:pPr>
    </w:p>
    <w:p w14:paraId="77069CA1" w14:textId="77777777" w:rsidR="00757811" w:rsidRPr="007678BE" w:rsidRDefault="00757811">
      <w:pPr>
        <w:rPr>
          <w:sz w:val="24"/>
          <w:szCs w:val="24"/>
        </w:rPr>
      </w:pPr>
    </w:p>
    <w:sectPr w:rsidR="00757811" w:rsidRPr="0076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E"/>
    <w:rsid w:val="00063ED0"/>
    <w:rsid w:val="002D6F44"/>
    <w:rsid w:val="00757811"/>
    <w:rsid w:val="007678BE"/>
    <w:rsid w:val="009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D342"/>
  <w15:chartTrackingRefBased/>
  <w15:docId w15:val="{820C814D-2047-410F-ACA3-120E84F0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8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8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2025-07-15T14:27:00Z</dcterms:created>
  <dcterms:modified xsi:type="dcterms:W3CDTF">2025-07-15T14:28:00Z</dcterms:modified>
</cp:coreProperties>
</file>