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Europsko izvješće o drogama 2026.: Trendovi i kretanja</w:t>
      </w:r>
    </w:p>
    <w:p w:rsidR="00FB78B3" w:rsidRDefault="00FB78B3" w:rsidP="009769FD">
      <w:pPr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Sve veća složenost europskog tržišta droga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Europsko izvješće o drogama 2026. opisuje europsko tržište droga kao izrazito dinamično, otporno i prilagodljivo. Dostupnost droga ostaje visoka za gotovo sve glavne skupine psihoaktivnih tvari, dok istodobno raste raznolikost proizvoda koji se pojavljuju na tržištu.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Za razliku od ranijih godina, kada su pojedine droge uglavnom bile povezane s određenim skupinama korisnika i relativno stabilnim tržištima, danas se sve češće bilježi preklapanje tržišta tradicionalnih droga i novih psihoaktivnih tvari. To znači da korisnici mogu kupiti proizvod za koji vjeruju da sadrži jednu tvar, dok on zapravo sadrž</w:t>
      </w:r>
      <w:r w:rsidR="00392EE7">
        <w:rPr>
          <w:rFonts w:cstheme="minorHAnsi"/>
          <w:sz w:val="24"/>
          <w:szCs w:val="24"/>
        </w:rPr>
        <w:t>i</w:t>
      </w:r>
      <w:r w:rsidRPr="00FB78B3">
        <w:rPr>
          <w:rFonts w:cstheme="minorHAnsi"/>
          <w:sz w:val="24"/>
          <w:szCs w:val="24"/>
        </w:rPr>
        <w:t xml:space="preserve"> drugu ili više različitih tvari. Takvi obrasci povećavaju rizik od akutnih </w:t>
      </w:r>
      <w:r w:rsidR="00885FE6">
        <w:rPr>
          <w:rFonts w:cstheme="minorHAnsi"/>
          <w:sz w:val="24"/>
          <w:szCs w:val="24"/>
        </w:rPr>
        <w:t>o</w:t>
      </w:r>
      <w:r w:rsidRPr="00FB78B3">
        <w:rPr>
          <w:rFonts w:cstheme="minorHAnsi"/>
          <w:sz w:val="24"/>
          <w:szCs w:val="24"/>
        </w:rPr>
        <w:t>trovanja, predoziranja i drugih zdravstvenih komplikacija.</w:t>
      </w:r>
    </w:p>
    <w:p w:rsidR="00FB78B3" w:rsidRDefault="00E77B68" w:rsidP="00FB78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Agencija Europske unije za droge</w:t>
      </w:r>
      <w:r w:rsidR="00FB78B3" w:rsidRPr="00FB78B3">
        <w:rPr>
          <w:rFonts w:cstheme="minorHAnsi"/>
          <w:sz w:val="24"/>
          <w:szCs w:val="24"/>
        </w:rPr>
        <w:t xml:space="preserve"> posebno naglašava da tržište droga postaje sve nepredvidljivije zbog tehnoloških inovacija, korištenja interneta i društvenih mreža, prilagodljivosti kriminalnih mreža te stalnog razvoja novih sintetskih spojeva kojima proizvođači pokušavaju zaobići zakonske kontrole.</w:t>
      </w:r>
    </w:p>
    <w:p w:rsidR="00FE2CC9" w:rsidRPr="00FB78B3" w:rsidRDefault="00FE2CC9" w:rsidP="00FB78B3">
      <w:pPr>
        <w:jc w:val="both"/>
        <w:rPr>
          <w:rFonts w:cstheme="minorHAnsi"/>
          <w:sz w:val="24"/>
          <w:szCs w:val="24"/>
        </w:rPr>
      </w:pPr>
    </w:p>
    <w:p w:rsidR="00FB78B3" w:rsidRPr="00FE2CC9" w:rsidRDefault="00FB78B3" w:rsidP="00FE2CC9">
      <w:pPr>
        <w:jc w:val="center"/>
        <w:rPr>
          <w:rFonts w:cstheme="minorHAnsi"/>
          <w:b/>
          <w:sz w:val="24"/>
          <w:szCs w:val="24"/>
        </w:rPr>
      </w:pPr>
      <w:r w:rsidRPr="00FE2CC9">
        <w:rPr>
          <w:rFonts w:cstheme="minorHAnsi"/>
          <w:b/>
          <w:sz w:val="24"/>
          <w:szCs w:val="24"/>
        </w:rPr>
        <w:t>Sve izraženiji problem polikonzumacije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 xml:space="preserve">Jedna od najvažnijih poruka </w:t>
      </w:r>
      <w:r w:rsidR="00DA6EBD">
        <w:rPr>
          <w:rFonts w:cstheme="minorHAnsi"/>
          <w:sz w:val="24"/>
          <w:szCs w:val="24"/>
        </w:rPr>
        <w:t>Europskog izvješća o drogama</w:t>
      </w:r>
      <w:r w:rsidRPr="00FB78B3">
        <w:rPr>
          <w:rFonts w:cstheme="minorHAnsi"/>
          <w:sz w:val="24"/>
          <w:szCs w:val="24"/>
        </w:rPr>
        <w:t xml:space="preserve"> 2026. odnosi se na rastuću učestalost polikonzumacije, odnosno istodobne uporabe više psihoaktivnih tvari.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 xml:space="preserve">Prema </w:t>
      </w:r>
      <w:r w:rsidR="006E5A05">
        <w:rPr>
          <w:rFonts w:cstheme="minorHAnsi"/>
          <w:sz w:val="24"/>
          <w:szCs w:val="24"/>
        </w:rPr>
        <w:t>I</w:t>
      </w:r>
      <w:r w:rsidRPr="00FB78B3">
        <w:rPr>
          <w:rFonts w:cstheme="minorHAnsi"/>
          <w:sz w:val="24"/>
          <w:szCs w:val="24"/>
        </w:rPr>
        <w:t xml:space="preserve">zvješću, upravo je polikonzumacija danas jedan od glavnih čimbenika povezanih s </w:t>
      </w:r>
      <w:r w:rsidR="006E5A05">
        <w:rPr>
          <w:rFonts w:cstheme="minorHAnsi"/>
          <w:sz w:val="24"/>
          <w:szCs w:val="24"/>
        </w:rPr>
        <w:t>o</w:t>
      </w:r>
      <w:r w:rsidRPr="00FB78B3">
        <w:rPr>
          <w:rFonts w:cstheme="minorHAnsi"/>
          <w:sz w:val="24"/>
          <w:szCs w:val="24"/>
        </w:rPr>
        <w:t>trovanjima i smrtnim ishodima. U velikom broju slučajeva smrtnosti povezanih s drogama nije pronađena samo jedna droga, već kombinacije opioida, stimulansa, alkohola, benzodiazepina i drugih psihoaktivnih tvari.</w:t>
      </w:r>
    </w:p>
    <w:p w:rsid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Dodatni problem predstavlja činjenica da korisnici često nisu svjesni stvarnog sastava proizvoda koje konzumiraju. Na tržištu se sve češće pojavljuju tablete, prašci, tekućine za elektroničke cigarete i drugi proizvodi koji sadrž</w:t>
      </w:r>
      <w:r w:rsidR="006E5A05">
        <w:rPr>
          <w:rFonts w:cstheme="minorHAnsi"/>
          <w:sz w:val="24"/>
          <w:szCs w:val="24"/>
        </w:rPr>
        <w:t>e</w:t>
      </w:r>
      <w:r w:rsidRPr="00FB78B3">
        <w:rPr>
          <w:rFonts w:cstheme="minorHAnsi"/>
          <w:sz w:val="24"/>
          <w:szCs w:val="24"/>
        </w:rPr>
        <w:t xml:space="preserve"> neočekivane ili visokopotentne tvari.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Tržište kanabisa postaje sve raznolikije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Kanabis ostaje najčešće korištena ilegalna droga u Europi. Procjenjuje se da je tijekom posljednjih 12 mjeseci kanabis koristilo 15,4 milijuna mladih osoba u dobi od 15 do 34 godine.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 xml:space="preserve">Međutim, </w:t>
      </w:r>
      <w:r w:rsidR="00CA298E" w:rsidRPr="00CA298E">
        <w:rPr>
          <w:rFonts w:cstheme="minorHAnsi"/>
          <w:sz w:val="24"/>
          <w:szCs w:val="24"/>
        </w:rPr>
        <w:t>Agencija Europske unije za droge</w:t>
      </w:r>
      <w:r w:rsidRPr="00FB78B3">
        <w:rPr>
          <w:rFonts w:cstheme="minorHAnsi"/>
          <w:sz w:val="24"/>
          <w:szCs w:val="24"/>
        </w:rPr>
        <w:t xml:space="preserve"> upozorava da se tržište kanabisa značajno promijenilo. Uz tradicionalni biljni kanabis i smolu kanabisa, danas su dostupni ekstrakti visoke potentnosti, jestivi proizvodi, koncentrati, proizvodi s niskim sadržajem THC-a, sintetski kanabinoidi te polusintetski kanabinoidi.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lastRenderedPageBreak/>
        <w:t>Prosječna koncentracija THC-a u smoli kanabisa dosegnula je 24,6 %, što je približno dvostruko više od koncentracije THC-a u biljnom kanabisu (12 %).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 xml:space="preserve">Povećava se i zabrinutost zbog proizvoda koji sadržavaju sintetske ili polusintetske kanabinoide. Takvi proizvodi često se prodaju kao legalna alternativa kanabisu ili kao proizvodi dobiveni iz CBD-a, iako mogu izazvati ozbiljne nuspojave, uključujući teška </w:t>
      </w:r>
      <w:r w:rsidR="002F5605">
        <w:rPr>
          <w:rFonts w:cstheme="minorHAnsi"/>
          <w:sz w:val="24"/>
          <w:szCs w:val="24"/>
        </w:rPr>
        <w:t>o</w:t>
      </w:r>
      <w:r w:rsidRPr="00FB78B3">
        <w:rPr>
          <w:rFonts w:cstheme="minorHAnsi"/>
          <w:sz w:val="24"/>
          <w:szCs w:val="24"/>
        </w:rPr>
        <w:t>trovanja i psihotične reakcije.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Zdravstveni sustavi već osjećaju posljedice tih promjena. Tijekom 2024. godine više od 104 000 osoba uključilo se u specijalizirano liječenje zbog problema povezanih s kanabisom, a 62 000 osoba prvi je put započelo liječenje.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Kokain doseže rekordnu dostupnost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Kokain je i dalje najčešće korišteni ilegalni stimulans u Europi te jedno od najvažnijih javnozdravstvenih pitanja povezanih s drogama.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Procjenjuje se da je tijekom posljednjih godinu dana kokain koristilo približno 2,5 milijuna mladih osoba u dobi od 15 do 34 godine.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Podaci dobiveni analizom otpadnih voda pokazuju da se konzumacija kokaina širi na nova geografska područja. U 48 od 85 gradova za koje postoje usporedivi podaci zabilježen je porast ostataka kokaina između 2024. i 2025. godine.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Posebnu zabrinutost izaziva činjenica da čistoća kokaina nastavlja rasti. Godine 2024. prosječna čistoća kokaina bila je 44 % viša nego 2014. godine.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Istodobno se povećava broj zdravstvenih problema povezanih s uporabom kokaina. Kokain je tijekom 2024. godine bio povezan s 1 133 smrtna slučaja u Europi te je sudjelovao u više od četvrtine svih prijavljenih smrtnih slučajeva povezanih s drogama.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Kokain je također često povezan s psihijatrijskim poremećajima, kardiovaskularnim komplikacijama te povećanim rizikom od HIV infekcije među osobama koje ga injektiraju.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Sve veća zabrinutost zbog crack kokaina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Izvješće posebno naglašava rastući problem crack kokaina u nekim europskim gradovima.</w:t>
      </w:r>
    </w:p>
    <w:p w:rsidR="00FB78B3" w:rsidRPr="00FB78B3" w:rsidRDefault="00586218" w:rsidP="00FB78B3">
      <w:pPr>
        <w:jc w:val="both"/>
        <w:rPr>
          <w:rFonts w:cstheme="minorHAnsi"/>
          <w:sz w:val="24"/>
          <w:szCs w:val="24"/>
        </w:rPr>
      </w:pPr>
      <w:r w:rsidRPr="00586218">
        <w:rPr>
          <w:rFonts w:cstheme="minorHAnsi"/>
          <w:sz w:val="24"/>
          <w:szCs w:val="24"/>
        </w:rPr>
        <w:t>Problem je osobito izražen među osobama koje se suočavaju s beskućništvom, osobama u socijalno nepovoljnom položaju te osobama koje istodobno koriste više različitih droga</w:t>
      </w:r>
      <w:r w:rsidR="00FB78B3" w:rsidRPr="00FB78B3">
        <w:rPr>
          <w:rFonts w:cstheme="minorHAnsi"/>
          <w:sz w:val="24"/>
          <w:szCs w:val="24"/>
        </w:rPr>
        <w:t>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Broj osoba koje su započele liječenje zbog problema povezanih s crack kokainom povećao se s 9 900 u 2023. godini na 11 400 u 2024. godini.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Stručnjaci upozoravaju da</w:t>
      </w:r>
      <w:r w:rsidR="003D5AAE">
        <w:rPr>
          <w:rFonts w:cstheme="minorHAnsi"/>
          <w:sz w:val="24"/>
          <w:szCs w:val="24"/>
        </w:rPr>
        <w:t xml:space="preserve"> p</w:t>
      </w:r>
      <w:r w:rsidR="003D5AAE" w:rsidRPr="003D5AAE">
        <w:rPr>
          <w:rFonts w:cstheme="minorHAnsi"/>
          <w:sz w:val="24"/>
          <w:szCs w:val="24"/>
        </w:rPr>
        <w:t>ovećana dostupnost crack kokaina može pridonijeti većoj prisutnosti uporabe i prodaje droga u javnim prostorima</w:t>
      </w:r>
      <w:r w:rsidRPr="00FB78B3">
        <w:rPr>
          <w:rFonts w:cstheme="minorHAnsi"/>
          <w:sz w:val="24"/>
          <w:szCs w:val="24"/>
        </w:rPr>
        <w:t>, pogoršanj</w:t>
      </w:r>
      <w:r w:rsidR="00535E50">
        <w:rPr>
          <w:rFonts w:cstheme="minorHAnsi"/>
          <w:sz w:val="24"/>
          <w:szCs w:val="24"/>
        </w:rPr>
        <w:t>u</w:t>
      </w:r>
      <w:bookmarkStart w:id="0" w:name="_GoBack"/>
      <w:bookmarkEnd w:id="0"/>
      <w:r w:rsidRPr="00FB78B3">
        <w:rPr>
          <w:rFonts w:cstheme="minorHAnsi"/>
          <w:sz w:val="24"/>
          <w:szCs w:val="24"/>
        </w:rPr>
        <w:t xml:space="preserve"> socijalnih i zdravstvenih problema te povećanog opterećenja hitnih službi i programa smanjenja šteta.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Sintetski katinoni postaju važan dio europskog tržišta droga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Sintetski katinoni danas više nisu ograničeni na tržište novih psihoaktivnih tvari, već su postali sastavni dio europskog tržišta stimulansa.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Tijekom 2024. godine zaplijenjeno je rekordnih 48,5 tona sintetskih katinona, dok su u državama članicama EU-a otkrivena 63 laboratorija za njihovu proizvodnju.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Posebnu zabrinutost izaziva pojava sve potentnijih spojeva, uključujući alfa-PVP, kao i činjenica da korisnici često ne znaju koji se katinon nalazi u proizvodu koji kupuju.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Broj osoba uključenih u liječenje zbog sintetskih katinona povećao se gotovo pet puta od 2018. godine.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Povećana dostupnost ketamina</w:t>
      </w:r>
    </w:p>
    <w:p w:rsidR="00FB78B3" w:rsidRPr="00FB78B3" w:rsidRDefault="0036363B" w:rsidP="00FB78B3">
      <w:pPr>
        <w:jc w:val="both"/>
        <w:rPr>
          <w:rFonts w:cstheme="minorHAnsi"/>
          <w:sz w:val="24"/>
          <w:szCs w:val="24"/>
        </w:rPr>
      </w:pPr>
      <w:r w:rsidRPr="0036363B">
        <w:rPr>
          <w:rFonts w:cstheme="minorHAnsi"/>
          <w:sz w:val="24"/>
          <w:szCs w:val="24"/>
        </w:rPr>
        <w:t xml:space="preserve">Europsko izvješće o drogama 2026. </w:t>
      </w:r>
      <w:r w:rsidR="00FB78B3" w:rsidRPr="00FB78B3">
        <w:rPr>
          <w:rFonts w:cstheme="minorHAnsi"/>
          <w:sz w:val="24"/>
          <w:szCs w:val="24"/>
        </w:rPr>
        <w:t>prvi put daje značajno više prostora ketaminu nego prethodnih godina.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Analize otpadnih voda pokazuju širenje uporabe ketamina u europskim gradovima, a broj osoba koje ulaze u liječenje zbog problema povezanih s ketaminom povećao se više od četiri puta u posljednjih pet godina.</w:t>
      </w:r>
    </w:p>
    <w:p w:rsidR="00FB78B3" w:rsidRPr="00FB78B3" w:rsidRDefault="009F4883" w:rsidP="00FB78B3">
      <w:pPr>
        <w:jc w:val="both"/>
        <w:rPr>
          <w:rFonts w:cstheme="minorHAnsi"/>
          <w:sz w:val="24"/>
          <w:szCs w:val="24"/>
        </w:rPr>
      </w:pPr>
      <w:r w:rsidRPr="009F4883">
        <w:rPr>
          <w:rFonts w:cstheme="minorHAnsi"/>
          <w:sz w:val="24"/>
          <w:szCs w:val="24"/>
        </w:rPr>
        <w:t xml:space="preserve">Agencija Europske unije za droge </w:t>
      </w:r>
      <w:r w:rsidR="00FB78B3" w:rsidRPr="00FB78B3">
        <w:rPr>
          <w:rFonts w:cstheme="minorHAnsi"/>
          <w:sz w:val="24"/>
          <w:szCs w:val="24"/>
        </w:rPr>
        <w:t>upozorava na ozbiljne posljedice dugotrajne uporabe ketamina, uključujući neurološka oštećenja, kardiovaskularne komplikacije, probleme mentalnog zdravlja te teška oštećenja mokraćnog sustava i mokraćnog mjehura.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Novi sintetski opioidi predstavljaju jednu od najvećih prijetnji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 xml:space="preserve">Među svim novim pojavama na tržištu droga, </w:t>
      </w:r>
      <w:r w:rsidR="00C407A0" w:rsidRPr="00C407A0">
        <w:rPr>
          <w:rFonts w:cstheme="minorHAnsi"/>
          <w:sz w:val="24"/>
          <w:szCs w:val="24"/>
        </w:rPr>
        <w:t xml:space="preserve">Agencija Europske unije za droge </w:t>
      </w:r>
      <w:r w:rsidRPr="00FB78B3">
        <w:rPr>
          <w:rFonts w:cstheme="minorHAnsi"/>
          <w:sz w:val="24"/>
          <w:szCs w:val="24"/>
        </w:rPr>
        <w:t>najveću zabrinutost iskazuje zbog pojave novih sintetskih opioida, posebno nitazena i orfina.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 xml:space="preserve">Riječ je o izrazito potentnim tvarima kod kojih vrlo male količine mogu izazvati teško </w:t>
      </w:r>
      <w:r w:rsidR="00C407A0">
        <w:rPr>
          <w:rFonts w:cstheme="minorHAnsi"/>
          <w:sz w:val="24"/>
          <w:szCs w:val="24"/>
        </w:rPr>
        <w:t>o</w:t>
      </w:r>
      <w:r w:rsidRPr="00FB78B3">
        <w:rPr>
          <w:rFonts w:cstheme="minorHAnsi"/>
          <w:sz w:val="24"/>
          <w:szCs w:val="24"/>
        </w:rPr>
        <w:t>trovanje ili smrt.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Tijekom 2025. godine prijavljena su tri nova nitazena i tri nova opioida iz skupine orfina.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Posebno zabrinjava porast broja krivotvorenih lijekova koji sadržavaju nitazene. U 2024. godini europske zemlje otkrile su više od 50 000 takvih tableta, što je više nego dvostruko u odnosu na prethodnu godinu.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Smrtnost povezana s drogama ostaje visoka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Procjenjuje se da je tijekom 2024. godine u Europskoj uniji zabilježeno oko 7 600 smrtnih slučajeva povezanih s drogama.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lastRenderedPageBreak/>
        <w:t>Opioidi su bili uključeni u približno 70 % svih smrtnih slučajeva, ali se sve češće bilježe kombinacije više različitih tvari.</w:t>
      </w:r>
    </w:p>
    <w:p w:rsidR="00FB78B3" w:rsidRPr="00FB78B3" w:rsidRDefault="003A36B5" w:rsidP="00FB78B3">
      <w:pPr>
        <w:jc w:val="both"/>
        <w:rPr>
          <w:rFonts w:cstheme="minorHAnsi"/>
          <w:sz w:val="24"/>
          <w:szCs w:val="24"/>
        </w:rPr>
      </w:pPr>
      <w:r w:rsidRPr="003A36B5">
        <w:rPr>
          <w:rFonts w:cstheme="minorHAnsi"/>
          <w:sz w:val="24"/>
          <w:szCs w:val="24"/>
        </w:rPr>
        <w:t>Izvješće naglašava važnost povećanja dostupnosti opioidne supstitucijske terapije i naloksona kao ključnih mjera za smanjenje smrtnosti</w:t>
      </w:r>
      <w:r w:rsidR="00FB78B3" w:rsidRPr="00FB78B3">
        <w:rPr>
          <w:rFonts w:cstheme="minorHAnsi"/>
          <w:sz w:val="24"/>
          <w:szCs w:val="24"/>
        </w:rPr>
        <w:t>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</w:p>
    <w:p w:rsidR="00FB78B3" w:rsidRPr="00FB78B3" w:rsidRDefault="00FB78B3" w:rsidP="00FB78B3">
      <w:pPr>
        <w:jc w:val="center"/>
        <w:rPr>
          <w:rFonts w:cstheme="minorHAnsi"/>
          <w:b/>
          <w:sz w:val="24"/>
          <w:szCs w:val="24"/>
        </w:rPr>
      </w:pPr>
      <w:r w:rsidRPr="00FB78B3">
        <w:rPr>
          <w:rFonts w:cstheme="minorHAnsi"/>
          <w:b/>
          <w:sz w:val="24"/>
          <w:szCs w:val="24"/>
        </w:rPr>
        <w:t>Organizirani kriminal i krijumčarenje droga</w:t>
      </w:r>
    </w:p>
    <w:p w:rsidR="00FB78B3" w:rsidRPr="00FB78B3" w:rsidRDefault="00510AA6" w:rsidP="00FB78B3">
      <w:pPr>
        <w:jc w:val="both"/>
        <w:rPr>
          <w:rFonts w:cstheme="minorHAnsi"/>
          <w:sz w:val="24"/>
          <w:szCs w:val="24"/>
        </w:rPr>
      </w:pPr>
      <w:r w:rsidRPr="00510AA6">
        <w:rPr>
          <w:rFonts w:cstheme="minorHAnsi"/>
          <w:sz w:val="24"/>
          <w:szCs w:val="24"/>
        </w:rPr>
        <w:t xml:space="preserve">Europsko izvješće o drogama 2026. </w:t>
      </w:r>
      <w:r w:rsidR="00FB78B3" w:rsidRPr="00FB78B3">
        <w:rPr>
          <w:rFonts w:cstheme="minorHAnsi"/>
          <w:sz w:val="24"/>
          <w:szCs w:val="24"/>
        </w:rPr>
        <w:t>posvećuje znatnu pozornost sigurnosnoj dimenziji problema droga.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Kriminalne mreže nastavljaju koristiti europske luke za krijumčarenje velikih količina droga, ali istodobno razvijaju nove metode izbjegavanja nadzora, uključujući korištenje manjih luka, transfera na moru, bespilotnih letjelica, polupodmornica i složenih metoda prikrivanja pošiljki.</w:t>
      </w:r>
    </w:p>
    <w:p w:rsidR="00FB78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Tijekom 2024. godine u Europskoj uniji otkrivena su 252 laboratorija za proizvodnju metamfetamina, 110 laboratorija za proizvodnju amfetamina, 63 laboratorija za sintetske katinone i 59 laboratorija za MDMA.</w:t>
      </w:r>
    </w:p>
    <w:p w:rsidR="00E515B3" w:rsidRPr="00FB78B3" w:rsidRDefault="00FB78B3" w:rsidP="00FB78B3">
      <w:pPr>
        <w:jc w:val="both"/>
        <w:rPr>
          <w:rFonts w:cstheme="minorHAnsi"/>
          <w:sz w:val="24"/>
          <w:szCs w:val="24"/>
        </w:rPr>
      </w:pPr>
      <w:r w:rsidRPr="00FB78B3">
        <w:rPr>
          <w:rFonts w:cstheme="minorHAnsi"/>
          <w:sz w:val="24"/>
          <w:szCs w:val="24"/>
        </w:rPr>
        <w:t>Izvješće također upozorava na sve češće uključivanje mladih osoba u kriminalne aktivnosti povezane s tržištem droga, uključujući nasilje koje kriminalne skupine organiziraju i financiraju preko maloljetnih i mladih počinitelja.</w:t>
      </w:r>
    </w:p>
    <w:sectPr w:rsidR="00E515B3" w:rsidRPr="00FB78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555" w:rsidRDefault="00171555" w:rsidP="00FB78B3">
      <w:pPr>
        <w:spacing w:after="0" w:line="240" w:lineRule="auto"/>
      </w:pPr>
      <w:r>
        <w:separator/>
      </w:r>
    </w:p>
  </w:endnote>
  <w:endnote w:type="continuationSeparator" w:id="0">
    <w:p w:rsidR="00171555" w:rsidRDefault="00171555" w:rsidP="00FB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522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8B3" w:rsidRDefault="00FB78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78B3" w:rsidRDefault="00FB7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555" w:rsidRDefault="00171555" w:rsidP="00FB78B3">
      <w:pPr>
        <w:spacing w:after="0" w:line="240" w:lineRule="auto"/>
      </w:pPr>
      <w:r>
        <w:separator/>
      </w:r>
    </w:p>
  </w:footnote>
  <w:footnote w:type="continuationSeparator" w:id="0">
    <w:p w:rsidR="00171555" w:rsidRDefault="00171555" w:rsidP="00FB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B3"/>
    <w:rsid w:val="00126E37"/>
    <w:rsid w:val="00171555"/>
    <w:rsid w:val="002140E6"/>
    <w:rsid w:val="002F5605"/>
    <w:rsid w:val="0036363B"/>
    <w:rsid w:val="00392EE7"/>
    <w:rsid w:val="00394B50"/>
    <w:rsid w:val="003A36B5"/>
    <w:rsid w:val="003D5AAE"/>
    <w:rsid w:val="00510AA6"/>
    <w:rsid w:val="00535E50"/>
    <w:rsid w:val="00586218"/>
    <w:rsid w:val="006068B6"/>
    <w:rsid w:val="006E5A05"/>
    <w:rsid w:val="00885FE6"/>
    <w:rsid w:val="00945950"/>
    <w:rsid w:val="00961560"/>
    <w:rsid w:val="009769FD"/>
    <w:rsid w:val="009872A6"/>
    <w:rsid w:val="009F4883"/>
    <w:rsid w:val="00C407A0"/>
    <w:rsid w:val="00C70055"/>
    <w:rsid w:val="00CA298E"/>
    <w:rsid w:val="00DA6EBD"/>
    <w:rsid w:val="00E515B3"/>
    <w:rsid w:val="00E77B68"/>
    <w:rsid w:val="00F61528"/>
    <w:rsid w:val="00FB78B3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1D28"/>
  <w15:chartTrackingRefBased/>
  <w15:docId w15:val="{F83C18D4-F2E1-4EEA-B0B6-B27CE2F3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B3"/>
  </w:style>
  <w:style w:type="paragraph" w:styleId="Footer">
    <w:name w:val="footer"/>
    <w:basedOn w:val="Normal"/>
    <w:link w:val="FooterChar"/>
    <w:uiPriority w:val="99"/>
    <w:unhideWhenUsed/>
    <w:rsid w:val="00FB7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Kovačević</dc:creator>
  <cp:keywords/>
  <dc:description/>
  <cp:lastModifiedBy>Mirela Kovačević</cp:lastModifiedBy>
  <cp:revision>30</cp:revision>
  <dcterms:created xsi:type="dcterms:W3CDTF">2026-06-05T08:50:00Z</dcterms:created>
  <dcterms:modified xsi:type="dcterms:W3CDTF">2026-06-05T11:15:00Z</dcterms:modified>
</cp:coreProperties>
</file>